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66" w:rsidRPr="00343BBE" w:rsidRDefault="00A10266" w:rsidP="009E7155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404040" w:themeColor="text1" w:themeTint="BF"/>
          <w:sz w:val="20"/>
          <w:szCs w:val="20"/>
          <w:lang w:val="mt-MT"/>
        </w:rPr>
      </w:pPr>
      <w:r>
        <w:rPr>
          <w:rFonts w:cstheme="minorHAnsi"/>
          <w:b/>
          <w:color w:val="404040" w:themeColor="text1" w:themeTint="BF"/>
          <w:sz w:val="20"/>
          <w:szCs w:val="20"/>
        </w:rPr>
        <w:t xml:space="preserve">RAPPORT DWAR </w:t>
      </w:r>
      <w:r w:rsidR="009E7155">
        <w:rPr>
          <w:rFonts w:cstheme="minorHAnsi"/>
          <w:b/>
          <w:color w:val="404040" w:themeColor="text1" w:themeTint="BF"/>
          <w:sz w:val="20"/>
          <w:szCs w:val="20"/>
          <w:lang w:val="mt-MT"/>
        </w:rPr>
        <w:t xml:space="preserve">“L-ATT BIEX JEMENDA L-KODIĊI ĊIVILI, KAP. 16 </w:t>
      </w:r>
      <w:bookmarkStart w:id="0" w:name="_GoBack"/>
      <w:bookmarkEnd w:id="0"/>
      <w:r w:rsidR="009E7155">
        <w:rPr>
          <w:rFonts w:cstheme="minorHAnsi"/>
          <w:b/>
          <w:color w:val="404040" w:themeColor="text1" w:themeTint="BF"/>
          <w:sz w:val="20"/>
          <w:szCs w:val="20"/>
          <w:lang w:val="mt-MT"/>
        </w:rPr>
        <w:t>U L-KODIĊI KRIMINALI, KAP.9 (ABBOZZ NRU 47)” (L-ABBOZZ TA’ LIĠI DWAR IS-</w:t>
      </w:r>
      <w:r>
        <w:rPr>
          <w:rFonts w:cstheme="minorHAnsi"/>
          <w:b/>
          <w:color w:val="404040" w:themeColor="text1" w:themeTint="BF"/>
          <w:sz w:val="20"/>
          <w:szCs w:val="20"/>
        </w:rPr>
        <w:t>SAMARITAN IT-TAJJEB</w:t>
      </w:r>
      <w:r w:rsidR="009E7155">
        <w:rPr>
          <w:rFonts w:cstheme="minorHAnsi"/>
          <w:b/>
          <w:color w:val="404040" w:themeColor="text1" w:themeTint="BF"/>
          <w:sz w:val="20"/>
          <w:szCs w:val="20"/>
          <w:lang w:val="mt-MT"/>
        </w:rPr>
        <w:t xml:space="preserve">) </w:t>
      </w:r>
      <w:r w:rsidRPr="00343BBE">
        <w:rPr>
          <w:rFonts w:cstheme="minorHAnsi"/>
          <w:b/>
          <w:color w:val="404040" w:themeColor="text1" w:themeTint="BF"/>
          <w:sz w:val="20"/>
          <w:szCs w:val="20"/>
          <w:lang w:val="mt-MT"/>
        </w:rPr>
        <w:t>MILL-KUMITAT PERMANENTI DWAR L-AFFARIJIET SOĊJALI</w:t>
      </w:r>
    </w:p>
    <w:p w:rsidR="00A10266" w:rsidRPr="00343BBE" w:rsidRDefault="00A10266" w:rsidP="006A21CD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404040" w:themeColor="text1" w:themeTint="BF"/>
          <w:sz w:val="20"/>
          <w:szCs w:val="20"/>
          <w:lang w:val="mt-MT"/>
        </w:rPr>
      </w:pPr>
      <w:r>
        <w:rPr>
          <w:rFonts w:cstheme="minorHAnsi"/>
          <w:b/>
          <w:color w:val="404040" w:themeColor="text1" w:themeTint="BF"/>
          <w:sz w:val="20"/>
          <w:szCs w:val="20"/>
          <w:lang w:val="mt-MT"/>
        </w:rPr>
        <w:t>NOVEMBRU 2018</w:t>
      </w:r>
    </w:p>
    <w:p w:rsidR="00A10266" w:rsidRPr="000336FC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eastAsia="en-GB"/>
        </w:rPr>
      </w:pPr>
      <w:r w:rsidRPr="003B7609"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Fi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 xml:space="preserve">s-seduta 137 li saret fl-4 ta’ Lulju 2018, l-Abbozz ta’ Liġi msejjaħ “Att biex jemenda l-Kodiċi Ċivili, Kap. 16 u l-Kodiċi Kriminali, Kap. 9 (Abbozz Nru 47), biex jipprovdi għall-immunità mir-responsabilità f’każijiet ta’ salvataġġ jew tentattiv ta’ salvataġġ”, </w:t>
      </w:r>
      <w:r w:rsidR="0076186B"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 xml:space="preserve">imressaq mill-Onor. Claudio Grech, 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 xml:space="preserve">magħruf ukoll bħala l-Abbozz tas-Sammaritan it-Tajjeb, għadda mill-istadju ta’ Tieni Qari fil-Kamra. Fid-diskors tiegħu f’dan l-istadju, il-Ministru għall-Ġustizzja, Intern u Gvern Lokali, l-Onor. Owen Bonnici, f’isem il-Gvern, ippropona li jinfetaħ proċess ta’ konsultazzjoni parlamentari billi l-materja li jittratta dan l-abbozz tiġi diskussa mill-Kumitat Permanenti dwar l-Affarijiet Soċjali. </w:t>
      </w:r>
    </w:p>
    <w:p w:rsidR="00A10266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Il-Kumitat sejjaħ żewġ laqgħat li għalihom stieden numru ta’ esperti minn oqsma differenti sabiex jiddiskutu l-abbozz propost.  Dawn il-laqgħat inżammu fit-12 u l-14 ta’ Novembru 2018. Għal dawn il-laqgħat kien hemm rappreżentati:</w:t>
      </w:r>
    </w:p>
    <w:p w:rsidR="00A10266" w:rsidRDefault="00A10266" w:rsidP="00A1026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General Workers’ Union, Is-Sur Josef Bugeja</w:t>
      </w:r>
    </w:p>
    <w:p w:rsidR="00A10266" w:rsidRDefault="00A10266" w:rsidP="00A1026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Union Ħaddiema Magħqudin, Is-Sur Josef Vella</w:t>
      </w:r>
    </w:p>
    <w:p w:rsidR="00A10266" w:rsidRDefault="00A10266" w:rsidP="00A1026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Il-Pulizija ta’ Malta, Dr Antoine Casha</w:t>
      </w:r>
    </w:p>
    <w:p w:rsidR="00A10266" w:rsidRDefault="00A10266" w:rsidP="00A1026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MUT, Is-Sur Marco Bonnici</w:t>
      </w:r>
    </w:p>
    <w:p w:rsidR="00A10266" w:rsidRDefault="00A10266" w:rsidP="00A1026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Uffiċċju tal-Avukat Ġenerali, Id-Dott. Victoria Buttigieg</w:t>
      </w:r>
    </w:p>
    <w:p w:rsidR="00A10266" w:rsidRDefault="00A10266" w:rsidP="00A1026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Id-Dipartiment tal-Protezzjoni Ċivili, Is-Sur Emanuel Psaila</w:t>
      </w:r>
    </w:p>
    <w:p w:rsidR="00A10266" w:rsidRDefault="00A10266" w:rsidP="00A1026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Malta Resuscitation Council, Dr Marius Caruana</w:t>
      </w:r>
    </w:p>
    <w:p w:rsidR="00A10266" w:rsidRDefault="00A10266" w:rsidP="00A1026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St John Rescue Corps, Is-Sur Andrew Grech</w:t>
      </w:r>
    </w:p>
    <w:p w:rsidR="00A10266" w:rsidRDefault="00A10266" w:rsidP="00A1026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Malta Red Cross, Is-Sur Edward Gruppetta</w:t>
      </w:r>
    </w:p>
    <w:p w:rsidR="00A10266" w:rsidRPr="00DA39BE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 xml:space="preserve">L-MUMN ma kinetx preżenti però bagħtet komunika permezz ta’ </w:t>
      </w:r>
      <w:r w:rsidRPr="0092279E">
        <w:rPr>
          <w:rFonts w:eastAsia="Times New Roman" w:cstheme="minorHAnsi"/>
          <w:i/>
          <w:color w:val="404040" w:themeColor="text1" w:themeTint="BF"/>
          <w:sz w:val="20"/>
          <w:szCs w:val="20"/>
          <w:lang w:val="mt-MT" w:eastAsia="en-GB"/>
        </w:rPr>
        <w:t xml:space="preserve">email 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li fiha tesprimi l-qbil tagħha mal-abbozz.</w:t>
      </w:r>
    </w:p>
    <w:p w:rsidR="00A10266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Matul dawn iż-żewġ laqgħat ma ġiet espressa l-ebda oppożizzjoni għall-kunċett ta’ immunità lil min jipprova jagħti l-għajnuna tiegħu biex isalva lil ħaddieħor, però kien hemm diversi entitajiet li esprimew is-suġġerimenti tagħhom għal xi emendi li jistgħu jidħlu fl-abbozz.</w:t>
      </w:r>
    </w:p>
    <w:p w:rsidR="00A10266" w:rsidRPr="00331347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 xml:space="preserve">Numru ta’ entitajiet, filwaqt li qablu mal-abbozz, enfasizzaw il-bżonn tal-edukazzjoni fuq din il-materja. Spjegaw kif ser ikun hemm bżonn li n-nies ikunu infurmati b’din il-liġi u jkunu jafu wkoll kif se tkun qed tipproteġihom. Issemmiet ukoll il-possibilità li jsiru korsijiet ta’ </w:t>
      </w:r>
      <w:r>
        <w:rPr>
          <w:rFonts w:eastAsia="Times New Roman" w:cstheme="minorHAnsi"/>
          <w:i/>
          <w:color w:val="404040" w:themeColor="text1" w:themeTint="BF"/>
          <w:sz w:val="20"/>
          <w:szCs w:val="20"/>
          <w:lang w:val="mt-MT" w:eastAsia="en-GB"/>
        </w:rPr>
        <w:t>first aid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 xml:space="preserve"> u ta’ tifi tan-nar għat-tfal fl-iskejjel, sabiex fil-futur ikollna </w:t>
      </w:r>
      <w:r>
        <w:rPr>
          <w:rFonts w:eastAsia="Times New Roman" w:cstheme="minorHAnsi"/>
          <w:i/>
          <w:color w:val="404040" w:themeColor="text1" w:themeTint="BF"/>
          <w:sz w:val="20"/>
          <w:szCs w:val="20"/>
          <w:lang w:val="mt-MT" w:eastAsia="en-GB"/>
        </w:rPr>
        <w:t>bystanders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 xml:space="preserve"> li kapaċi joffru l-għajnuna f’każ ta’ bżonn.</w:t>
      </w:r>
    </w:p>
    <w:p w:rsidR="00A10266" w:rsidRPr="00931577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 xml:space="preserve">Mil-lat legali, il-Kumitat laqa’ b’interess il-kummenti li saru mill-Uffiċċju tal-Avukat Ġenerali u l-Korp tal-Pulizija. Fir-rigward taż-żieda ta’ Artiklu 226Ċ fil-Kodiċi Kriminali, Dr Buttigieg qalet illi “biex ikollna dan it-tip ta’ reat irid ikun hemm xi obbligu xi mkien biex norbtu r-reat ma’ nuqqas ta’ tħaris ta’ obbligu”. Dr Casha, f’isem il-Pulizija, ukoll qabel ma dan il-kumment. Hu kompla jgħid illi jekk din il-klawsola tiddaħħal, xorta waħda għandha tiżdied fiha  l-kelma “salvataġġ”, kif hemm fil-Kodiċi Ċivili, u qal ukoll illi għandha tidħol il-kwistjoni ta’ </w:t>
      </w:r>
      <w:r>
        <w:rPr>
          <w:rFonts w:eastAsia="Times New Roman" w:cstheme="minorHAnsi"/>
          <w:i/>
          <w:color w:val="404040" w:themeColor="text1" w:themeTint="BF"/>
          <w:sz w:val="20"/>
          <w:szCs w:val="20"/>
          <w:lang w:val="mt-MT" w:eastAsia="en-GB"/>
        </w:rPr>
        <w:t>reasonableness,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 xml:space="preserve"> biex il-Qorti tkun tista’ tara jekk il-mezzi li ntużaw għas-salvataġġ kinux raġonevoli jew le.</w:t>
      </w:r>
    </w:p>
    <w:p w:rsidR="00A10266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Il-Kumitat kompla jisma’, kif mil-lat ċivili, hemm il-kunċett illi kull min jikkaġuna dannu lil persuna oħra bl-azzjoni tiegħu, huwa responsabbli biex jirrispondi għal dak id-dannu. Għaldastant, il-liġi Maltija diġà tħares lejn il-kunċett tad-dannu u kumpens. Dr Buttigieg uriet it-tħassib tagħha għall-fat li l-abbozz ma jagħtix definizzjoni tat-termini “salvataġġ”, “emerġenza”, “negliġenza” u “intenzjoni”, u anki staqsiet jekk l-abbozz hux qed jitkellem dwar danni attwali jew kumpens.</w:t>
      </w:r>
    </w:p>
    <w:p w:rsidR="00A10266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Hi spjegat ukoll illi permezz ta’ dan l-abbozz, qed indaħħlu l-kunċett tal-immunità mingħajr ma ndaħħlu d-dover ta’ għajnuna.  Fuq dan il-punt, il-membri tal-Kumitat kienu fi qbil illi għalissa m’għandux jidħol l-obbligu li tgħin lil min ikun fil-bżonn, iżda ghandha tiddaħħal biss l-immunità.</w:t>
      </w:r>
    </w:p>
    <w:p w:rsidR="0076186B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lastRenderedPageBreak/>
        <w:t xml:space="preserve">Dr Buttigieg semmiet ukoll ir-riżervi tagħha li l-kunċett ta’ immunitá jiddaħħal fil-Kodiċi Ċivili u semmiet il-possibilità li jkollu att għalih, li jkun iktar dettaljat u li jkun iniżżel ċertu esklużjonijiet. </w:t>
      </w:r>
    </w:p>
    <w:p w:rsidR="0076186B" w:rsidRPr="002E0295" w:rsidRDefault="0076186B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Il-Membri tal-Kumitat spjegaw kif l-Abbozz kif ippreżentat huwa intiż biex idaħħal il-kunċett legali sabiex jiggwida lill-Qrati fid-deċiżjoni tagħhom meta jersqu tali każijiet quddiemho</w:t>
      </w:r>
      <w:r w:rsidR="00E96072"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m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. L-għan aħħari tal-</w:t>
      </w:r>
      <w:r w:rsidR="00E96072"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l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iġi huwa li persuna li tista’ twettaq salvataġġ jitneħħila kull dubbju dwar il-konsegwenzi li tista’ tiffaċċja minħabba li tagħti l-għajnuna tagħha fl-ewwel lok.</w:t>
      </w:r>
    </w:p>
    <w:p w:rsidR="00A10266" w:rsidRDefault="00A10266" w:rsidP="00A10266">
      <w:p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color w:val="404040" w:themeColor="text1" w:themeTint="BF"/>
          <w:sz w:val="20"/>
          <w:szCs w:val="20"/>
          <w:lang w:val="mt-MT" w:eastAsia="en-GB"/>
        </w:rPr>
      </w:pPr>
      <w:r w:rsidRPr="005D76BB"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Min-naħa tiegħu, Dr Antoine Casha, f’isem il-Korp tal-Pulizija, esprima t-tħassib tiegħu li l-emenda fil-Kodiċi Ċivili tkopri lil kulħadd, inkluż lil dawk li xogħolhom hu prop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r</w:t>
      </w:r>
      <w:r w:rsidRPr="005D76BB"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ju dak li jagħtu assistenza. Hu semma’ liġijiet barranin fejn nies professjonali ma jkunux koperti mil-liġi tas-Sam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m</w:t>
      </w:r>
      <w:r w:rsidRPr="005D76BB"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aritan it-Tajjeb meta jkunu qed jagħmlu xogħolhom, iżda jkunu koperti meta jaġixxu b’mod volontarju.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 xml:space="preserve"> Dr Casha speċifika li fil-fehma tiegħu, l-eżenzjoni għandha tingħata biss lill-</w:t>
      </w:r>
      <w:r>
        <w:rPr>
          <w:rFonts w:eastAsia="Times New Roman" w:cstheme="minorHAnsi"/>
          <w:i/>
          <w:color w:val="404040" w:themeColor="text1" w:themeTint="BF"/>
          <w:sz w:val="20"/>
          <w:szCs w:val="20"/>
          <w:lang w:val="mt-MT" w:eastAsia="en-GB"/>
        </w:rPr>
        <w:t>bystanders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 xml:space="preserve"> </w:t>
      </w:r>
      <w:r w:rsidRPr="00931577">
        <w:rPr>
          <w:rFonts w:eastAsia="Times New Roman" w:cstheme="minorHAnsi"/>
          <w:i/>
          <w:color w:val="404040" w:themeColor="text1" w:themeTint="BF"/>
          <w:sz w:val="20"/>
          <w:szCs w:val="20"/>
          <w:lang w:val="mt-MT" w:eastAsia="en-GB"/>
        </w:rPr>
        <w:t>or off-duty emergency responders</w:t>
      </w:r>
      <w:r>
        <w:rPr>
          <w:rFonts w:eastAsia="Times New Roman" w:cstheme="minorHAnsi"/>
          <w:i/>
          <w:color w:val="404040" w:themeColor="text1" w:themeTint="BF"/>
          <w:sz w:val="20"/>
          <w:szCs w:val="20"/>
          <w:lang w:val="mt-MT" w:eastAsia="en-GB"/>
        </w:rPr>
        <w:t>.</w:t>
      </w:r>
    </w:p>
    <w:p w:rsidR="00A10266" w:rsidRDefault="00A10266" w:rsidP="00A1026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 xml:space="preserve">L-entitajiet li jipprovdu l-għajnuna fl-emerġenzi, speċjalment dawk tal-Protezzjoni Ċivili, enfassizaw kemm f’ċertu każijiet ikunu jridu jagħtu l-għajnuna f’sekondi sabiex isalvaw ħajjet il-persuna li tkun tinsab f’periklu.  Spjegaw lill-Kumitat li jekk wieħed jieqaf jaħseb kif l-aħjar li joħroġ persuna minn ġo karozza jew dar taqbad sabiex ma jiġix imfittex għad-danni, jistgħu jintilfu mumenti prezzjużi, u saħansitra l-ħajja ta’ min ikun jinsab maqbud. </w:t>
      </w:r>
    </w:p>
    <w:p w:rsidR="00A10266" w:rsidRDefault="00A10266" w:rsidP="00A1026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Dawn l-esperti spjegaw kif, barra li nedukaw u ngħallmu,  għandna neliminaw id-dubju li jkollha dik il-persuna li tista’ tagħti l-għajnuna tagħha f’każ fejn dik l-għajnuna tista’ tfisser ħajja jew mewt. Dr Marius Caruana spjega lill-Kumitat illi l-liġi għandha tibqa’ kif inhi għaliex f’dak il-mument ta’ emerġenza, il-persuna m’għandux ċans joqgħod jiddibatti jekk hux se jingħata l-protezzjoni jew le. Dr Caruana kompla jgħid illi s-samaritan it-tajjeb mhuwiex il-pulizija jew il-pumpier li qiegħed fuq xogħol, iżda huwa l-persuna li m’għandux taħriġ u li jipprova jgħin kif jista’; huwa l-volontarju li joffri l-għajnuna tiegħu; huwa l-pulizija jew il-pumpier li qiegħed ġo ristorant jiekol mal-familja u jagħti sokkors lil min għandu bżonn.</w:t>
      </w:r>
    </w:p>
    <w:p w:rsidR="00A10266" w:rsidRDefault="00A10266" w:rsidP="00A1026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Is-</w:t>
      </w:r>
      <w:r w:rsidRPr="000336FC"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St John Rescue Corps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 xml:space="preserve"> u r-</w:t>
      </w:r>
      <w:r w:rsidRPr="000336FC"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Red Cross</w:t>
      </w: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, min-naħa tagħhom enfasizzaw il-protezzjoni li għandha tingħata lill-voluntiera, u wrew ix-xewqa tagħhom li l-immunità li qed jipprovdi l-abbozz tal-liġi, tħajjar iktar nies biex joffru s-servizzi tagħhom għaliex ma jkollhomx il-biża’ li att altruwistiku se jiġi mpatti b’konsegwenzi legali – dan filwaqt li ċċaraw li ħadd m’għandu jieħu l-impressjoni li għax il-liġi tipprovdi  l-immunità, għandu jsir xogħol negliġenti.</w:t>
      </w:r>
    </w:p>
    <w:p w:rsidR="00A10266" w:rsidRDefault="00A10266" w:rsidP="00A10266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</w:pPr>
      <w:r>
        <w:rPr>
          <w:rFonts w:eastAsia="Times New Roman" w:cstheme="minorHAnsi"/>
          <w:color w:val="404040" w:themeColor="text1" w:themeTint="BF"/>
          <w:sz w:val="20"/>
          <w:szCs w:val="20"/>
          <w:lang w:val="mt-MT" w:eastAsia="en-GB"/>
        </w:rPr>
        <w:t>Il-Kumitat, min-naħa tiegħu spjega kif l-intenzjoni tal-liġi mhijiex li tippermetti n-negliġenza iżda li tipproteġi lil min jagħti l-għajnuna, sabiex nevitaw li jinħoloq stat ta’ indifferenza fejn persuni li jaraw oħrajn fil-bżonn, jibqgħu għaddejjin sabiex ma jidħlux fl-inkwiet.</w:t>
      </w:r>
    </w:p>
    <w:p w:rsidR="00A10266" w:rsidRDefault="00A10266" w:rsidP="00A10266">
      <w:pPr>
        <w:spacing w:before="100" w:beforeAutospacing="1" w:after="100" w:afterAutospacing="1" w:line="24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>
        <w:rPr>
          <w:rFonts w:cstheme="minorHAnsi"/>
          <w:color w:val="404040" w:themeColor="text1" w:themeTint="BF"/>
          <w:sz w:val="20"/>
          <w:szCs w:val="20"/>
          <w:lang w:val="mt-MT"/>
        </w:rPr>
        <w:t>Il-Kumitat Permanenti għall-Affarijiet Soċ</w:t>
      </w:r>
      <w:r w:rsidRPr="002C7D92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jali </w:t>
      </w:r>
      <w:r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sema’ lill-esperti kollha li dehru quddiem il-Kumitat u filwaqt li juri l-apprezzament tiegħu għall-kontribut tagħhom, qiegħed jgħaddi din il-materja f’idejn il-Kumitat tal-Abbozzi sabiex jiġu mixtarra l-osservazzjonijiet differenti li saru matul il-laqgħat u tiġi kkunsidrata kwalunkwe emenda li hemm bżonn għall-abbozz inkwistjoni. </w:t>
      </w:r>
    </w:p>
    <w:p w:rsidR="00FA05BE" w:rsidRDefault="00FA05BE" w:rsidP="00A10266">
      <w:pPr>
        <w:spacing w:before="100" w:beforeAutospacing="1" w:after="100" w:afterAutospacing="1" w:line="24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  <w:r>
        <w:rPr>
          <w:rFonts w:cstheme="minorHAnsi"/>
          <w:color w:val="404040" w:themeColor="text1" w:themeTint="BF"/>
          <w:sz w:val="20"/>
          <w:szCs w:val="20"/>
          <w:lang w:val="mt-MT"/>
        </w:rPr>
        <w:t>Għal iktar dettalji</w:t>
      </w:r>
      <w:r w:rsidR="00CD0ABA">
        <w:rPr>
          <w:rFonts w:cstheme="minorHAnsi"/>
          <w:color w:val="404040" w:themeColor="text1" w:themeTint="BF"/>
          <w:sz w:val="20"/>
          <w:szCs w:val="20"/>
          <w:lang w:val="mt-MT"/>
        </w:rPr>
        <w:t xml:space="preserve"> wieħed jista’ jirreferi għat-traskrizzjoni tal-laqgħat li saru mal-esperti, kif ukoll għall-preżentazzjoni magħmula mill-Onor. Claudio Grech.</w:t>
      </w:r>
    </w:p>
    <w:p w:rsidR="00A10266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A10266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A10266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A10266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A10266" w:rsidRDefault="00A10266" w:rsidP="00A10266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color w:val="404040" w:themeColor="text1" w:themeTint="BF"/>
          <w:sz w:val="20"/>
          <w:szCs w:val="20"/>
          <w:lang w:val="mt-MT"/>
        </w:rPr>
      </w:pPr>
    </w:p>
    <w:p w:rsidR="00A10266" w:rsidRDefault="00A10266" w:rsidP="00A10266">
      <w:pPr>
        <w:spacing w:before="100" w:beforeAutospacing="1" w:after="100" w:afterAutospacing="1" w:line="240" w:lineRule="auto"/>
      </w:pPr>
    </w:p>
    <w:p w:rsidR="00D23124" w:rsidRDefault="00D23124"/>
    <w:sectPr w:rsidR="00D23124" w:rsidSect="00FA0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C45A4"/>
    <w:multiLevelType w:val="hybridMultilevel"/>
    <w:tmpl w:val="B074E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66"/>
    <w:rsid w:val="0045480B"/>
    <w:rsid w:val="004617DB"/>
    <w:rsid w:val="006A21CD"/>
    <w:rsid w:val="0076186B"/>
    <w:rsid w:val="009E7155"/>
    <w:rsid w:val="00A10266"/>
    <w:rsid w:val="00AF5307"/>
    <w:rsid w:val="00C739AC"/>
    <w:rsid w:val="00CD0ABA"/>
    <w:rsid w:val="00D23124"/>
    <w:rsid w:val="00DD0F2C"/>
    <w:rsid w:val="00E96072"/>
    <w:rsid w:val="00FA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9B53E45-AAFC-4811-ACF3-DA18F0ED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2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2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0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26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5AD3-AC2E-4B79-A3CD-28B49599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Burmingham</dc:creator>
  <cp:keywords/>
  <dc:description/>
  <cp:lastModifiedBy>trappermalta</cp:lastModifiedBy>
  <cp:revision>5</cp:revision>
  <dcterms:created xsi:type="dcterms:W3CDTF">2019-03-14T07:21:00Z</dcterms:created>
  <dcterms:modified xsi:type="dcterms:W3CDTF">2019-03-14T07:23:00Z</dcterms:modified>
</cp:coreProperties>
</file>