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A9" w:rsidRDefault="00F13DA9" w:rsidP="00F13DA9">
      <w:pPr>
        <w:rPr>
          <w:rFonts w:ascii="Tahoma" w:eastAsia="Times New Roman" w:hAnsi="Tahoma" w:cs="Tahoma"/>
          <w:sz w:val="20"/>
          <w:szCs w:val="20"/>
          <w:lang w:val="en-US"/>
        </w:rPr>
      </w:pPr>
      <w:r>
        <w:rPr>
          <w:rFonts w:ascii="Tahoma" w:eastAsia="Times New Roman" w:hAnsi="Tahoma" w:cs="Tahoma"/>
          <w:b/>
          <w:bCs/>
          <w:sz w:val="20"/>
          <w:szCs w:val="20"/>
          <w:lang w:val="en-US"/>
        </w:rPr>
        <w:t>From:</w:t>
      </w:r>
      <w:r>
        <w:rPr>
          <w:rFonts w:ascii="Tahoma" w:eastAsia="Times New Roman" w:hAnsi="Tahoma" w:cs="Tahoma"/>
          <w:sz w:val="20"/>
          <w:szCs w:val="20"/>
          <w:lang w:val="en-US"/>
        </w:rPr>
        <w:t xml:space="preserve"> Vella Philip at MEIB [mailto:philip.c.vella@gov.mt] </w:t>
      </w:r>
      <w:r>
        <w:rPr>
          <w:rFonts w:ascii="Tahoma" w:eastAsia="Times New Roman" w:hAnsi="Tahoma" w:cs="Tahoma"/>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10 June 2014 15:17</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Scerri Eleanor at Parlament-MT</w:t>
      </w:r>
      <w:r>
        <w:rPr>
          <w:rFonts w:ascii="Tahoma" w:eastAsia="Times New Roman" w:hAnsi="Tahoma" w:cs="Tahoma"/>
          <w:sz w:val="20"/>
          <w:szCs w:val="20"/>
          <w:lang w:val="en-US"/>
        </w:rPr>
        <w:br/>
      </w:r>
      <w:r>
        <w:rPr>
          <w:rFonts w:ascii="Tahoma" w:eastAsia="Times New Roman" w:hAnsi="Tahoma" w:cs="Tahoma"/>
          <w:b/>
          <w:bCs/>
          <w:sz w:val="20"/>
          <w:szCs w:val="20"/>
          <w:lang w:val="en-US"/>
        </w:rPr>
        <w:t>Cc:</w:t>
      </w:r>
      <w:r>
        <w:rPr>
          <w:rFonts w:ascii="Tahoma" w:eastAsia="Times New Roman" w:hAnsi="Tahoma" w:cs="Tahoma"/>
          <w:sz w:val="20"/>
          <w:szCs w:val="20"/>
          <w:lang w:val="en-US"/>
        </w:rPr>
        <w:t xml:space="preserve"> Buttigieg Scicluna Maria at MEIB; Abela Joseph at MEIB; Costa Louis at MEIB; Micallef Jan at MaltaRep; Abela Pauline at Parlament-MT; Vella John at Parlament-MT</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RE: National parliaments on </w:t>
      </w:r>
      <w:proofErr w:type="spellStart"/>
      <w:r>
        <w:rPr>
          <w:rFonts w:ascii="Tahoma" w:eastAsia="Times New Roman" w:hAnsi="Tahoma" w:cs="Tahoma"/>
          <w:sz w:val="20"/>
          <w:szCs w:val="20"/>
          <w:lang w:val="en-US"/>
        </w:rPr>
        <w:t>mixity</w:t>
      </w:r>
      <w:proofErr w:type="spellEnd"/>
      <w:r>
        <w:rPr>
          <w:rFonts w:ascii="Tahoma" w:eastAsia="Times New Roman" w:hAnsi="Tahoma" w:cs="Tahoma"/>
          <w:sz w:val="20"/>
          <w:szCs w:val="20"/>
          <w:lang w:val="en-US"/>
        </w:rPr>
        <w:t xml:space="preserve"> of FTAs</w:t>
      </w:r>
    </w:p>
    <w:p w:rsidR="00F13DA9" w:rsidRDefault="00F13DA9" w:rsidP="00F13DA9"/>
    <w:p w:rsidR="00F13DA9" w:rsidRDefault="00F13DA9" w:rsidP="00F13DA9">
      <w:pPr>
        <w:jc w:val="both"/>
        <w:rPr>
          <w:color w:val="000000"/>
        </w:rPr>
      </w:pPr>
      <w:r>
        <w:rPr>
          <w:color w:val="000000"/>
        </w:rPr>
        <w:t>Good afternoon Eleanor</w:t>
      </w:r>
    </w:p>
    <w:p w:rsidR="00F13DA9" w:rsidRDefault="00F13DA9" w:rsidP="00F13DA9">
      <w:pPr>
        <w:jc w:val="both"/>
        <w:rPr>
          <w:color w:val="000000"/>
        </w:rPr>
      </w:pPr>
    </w:p>
    <w:p w:rsidR="00F13DA9" w:rsidRDefault="00F13DA9" w:rsidP="00F13DA9">
      <w:pPr>
        <w:jc w:val="both"/>
        <w:rPr>
          <w:color w:val="000000"/>
        </w:rPr>
      </w:pPr>
      <w:r>
        <w:rPr>
          <w:color w:val="000000"/>
        </w:rPr>
        <w:t>Kindly note that we have consulted internally on the matter in question and would like to inform you that the Ministry acknowledges that some areas covered by a number of trade agreements remain a competence of the Member States. Beyond that, it could also be in the interest of the MS Parliaments to know what is being discussed even if there was no MS competence.</w:t>
      </w:r>
    </w:p>
    <w:p w:rsidR="00F13DA9" w:rsidRDefault="00F13DA9" w:rsidP="00F13DA9">
      <w:pPr>
        <w:jc w:val="both"/>
        <w:rPr>
          <w:color w:val="000000"/>
        </w:rPr>
      </w:pPr>
    </w:p>
    <w:p w:rsidR="00F13DA9" w:rsidRDefault="00F13DA9" w:rsidP="00F13DA9">
      <w:pPr>
        <w:jc w:val="both"/>
        <w:rPr>
          <w:color w:val="000000"/>
        </w:rPr>
      </w:pPr>
      <w:r>
        <w:rPr>
          <w:color w:val="000000"/>
        </w:rPr>
        <w:t xml:space="preserve">On the access of documents by the MS Parliaments, the Ministry could also agree to provide access to documents in Parliament. Looking ahead, however there shall be strict conditions in relation to confidentiality of the documents, including putting in place restrictions on how the documents could be viewed and in which </w:t>
      </w:r>
      <w:proofErr w:type="spellStart"/>
      <w:r>
        <w:rPr>
          <w:color w:val="000000"/>
        </w:rPr>
        <w:t>fora</w:t>
      </w:r>
      <w:proofErr w:type="spellEnd"/>
      <w:r>
        <w:rPr>
          <w:color w:val="000000"/>
        </w:rPr>
        <w:t xml:space="preserve"> they could be discussed. For example, discussions cannot be broadcasted and access to documents would have to be restricted to those strictly needing to view the documents. A suggested way forward would be to have a code of practice at EU level on how to deal with this issue within the MS. </w:t>
      </w:r>
    </w:p>
    <w:p w:rsidR="00F13DA9" w:rsidRDefault="00F13DA9" w:rsidP="00F13DA9">
      <w:pPr>
        <w:jc w:val="both"/>
        <w:rPr>
          <w:color w:val="000000"/>
        </w:rPr>
      </w:pPr>
    </w:p>
    <w:p w:rsidR="00F13DA9" w:rsidRDefault="00F13DA9" w:rsidP="00F13DA9">
      <w:pPr>
        <w:jc w:val="both"/>
        <w:rPr>
          <w:color w:val="000000"/>
          <w:lang w:val="mt-MT"/>
        </w:rPr>
      </w:pPr>
      <w:r>
        <w:rPr>
          <w:color w:val="000000"/>
        </w:rPr>
        <w:t xml:space="preserve">It would be highly appreciated to receive the position of the Chairman presiding </w:t>
      </w:r>
      <w:r>
        <w:rPr>
          <w:color w:val="000000"/>
          <w:lang w:val="mt-MT"/>
        </w:rPr>
        <w:t xml:space="preserve">the Foreign and European Affairs Committee (FEAC). Subsequently we will bring the position to the attention of the Hon. Minister Dr. Cardona for his position and guidance on the matter. Thanks. </w:t>
      </w:r>
    </w:p>
    <w:p w:rsidR="00F13DA9" w:rsidRDefault="00F13DA9" w:rsidP="00F13DA9">
      <w:pPr>
        <w:jc w:val="both"/>
        <w:rPr>
          <w:color w:val="000000"/>
          <w:lang w:val="mt-MT"/>
        </w:rPr>
      </w:pPr>
    </w:p>
    <w:p w:rsidR="00F13DA9" w:rsidRDefault="00F13DA9" w:rsidP="00F13DA9">
      <w:pPr>
        <w:jc w:val="both"/>
        <w:rPr>
          <w:rFonts w:ascii="Calibri" w:hAnsi="Calibri"/>
          <w:color w:val="1F497D"/>
          <w:sz w:val="22"/>
          <w:szCs w:val="22"/>
        </w:rPr>
      </w:pPr>
      <w:r>
        <w:rPr>
          <w:color w:val="000000"/>
          <w:lang w:val="mt-MT"/>
        </w:rPr>
        <w:t>Best regards,</w:t>
      </w:r>
    </w:p>
    <w:p w:rsidR="00F13DA9" w:rsidRDefault="00F13DA9" w:rsidP="00F13DA9">
      <w:pPr>
        <w:rPr>
          <w:rFonts w:ascii="Calibri" w:hAnsi="Calibri"/>
          <w:color w:val="1F497D"/>
          <w:sz w:val="22"/>
          <w:szCs w:val="22"/>
        </w:rPr>
      </w:pPr>
    </w:p>
    <w:tbl>
      <w:tblPr>
        <w:tblW w:w="10400" w:type="dxa"/>
        <w:tblCellSpacing w:w="0" w:type="dxa"/>
        <w:tblCellMar>
          <w:left w:w="0" w:type="dxa"/>
          <w:right w:w="0" w:type="dxa"/>
        </w:tblCellMar>
        <w:tblLook w:val="04A0"/>
      </w:tblPr>
      <w:tblGrid>
        <w:gridCol w:w="5064"/>
        <w:gridCol w:w="5036"/>
        <w:gridCol w:w="300"/>
      </w:tblGrid>
      <w:tr w:rsidR="00F13DA9" w:rsidTr="00F13DA9">
        <w:trPr>
          <w:trHeight w:val="1050"/>
          <w:tblCellSpacing w:w="0" w:type="dxa"/>
        </w:trPr>
        <w:tc>
          <w:tcPr>
            <w:tcW w:w="0" w:type="auto"/>
            <w:hideMark/>
          </w:tcPr>
          <w:p w:rsidR="00F13DA9" w:rsidRDefault="00F13DA9">
            <w:pPr>
              <w:rPr>
                <w:rFonts w:ascii="Arial" w:hAnsi="Arial" w:cs="Arial"/>
                <w:color w:val="1F497D"/>
                <w:sz w:val="22"/>
                <w:szCs w:val="22"/>
              </w:rPr>
            </w:pPr>
            <w:r>
              <w:rPr>
                <w:rFonts w:ascii="Arial" w:hAnsi="Arial" w:cs="Arial"/>
                <w:color w:val="706F6F"/>
                <w:sz w:val="22"/>
                <w:szCs w:val="22"/>
              </w:rPr>
              <w:br/>
              <w:t>Philip Vella</w:t>
            </w:r>
            <w:r>
              <w:rPr>
                <w:rFonts w:ascii="Arial" w:hAnsi="Arial" w:cs="Arial"/>
                <w:color w:val="706F6F"/>
                <w:sz w:val="22"/>
                <w:szCs w:val="22"/>
              </w:rPr>
              <w:br/>
            </w:r>
            <w:r>
              <w:rPr>
                <w:rFonts w:ascii="Arial" w:hAnsi="Arial" w:cs="Arial"/>
                <w:color w:val="706F6F"/>
                <w:sz w:val="16"/>
                <w:szCs w:val="16"/>
              </w:rPr>
              <w:t>Research Analyst</w:t>
            </w:r>
          </w:p>
          <w:p w:rsidR="00F13DA9" w:rsidRDefault="00F13DA9">
            <w:pPr>
              <w:rPr>
                <w:rFonts w:ascii="Arial" w:hAnsi="Arial" w:cs="Arial"/>
                <w:color w:val="1F497D"/>
              </w:rPr>
            </w:pPr>
            <w:r>
              <w:rPr>
                <w:rFonts w:ascii="Arial" w:hAnsi="Arial" w:cs="Arial"/>
                <w:color w:val="706F6F"/>
                <w:sz w:val="16"/>
                <w:szCs w:val="16"/>
              </w:rPr>
              <w:t>EU Affairs Directorate</w:t>
            </w:r>
          </w:p>
        </w:tc>
        <w:tc>
          <w:tcPr>
            <w:tcW w:w="0" w:type="auto"/>
            <w:vAlign w:val="center"/>
            <w:hideMark/>
          </w:tcPr>
          <w:p w:rsidR="00F13DA9" w:rsidRDefault="00F13DA9">
            <w:pPr>
              <w:rPr>
                <w:rFonts w:ascii="Arial" w:hAnsi="Arial" w:cs="Arial"/>
                <w:color w:val="1F497D"/>
              </w:rPr>
            </w:pP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76250" cy="619125"/>
                  <wp:effectExtent l="19050" t="0" r="0" b="0"/>
                  <wp:wrapSquare wrapText="bothSides"/>
                  <wp:docPr id="2" name="Picture 2" descr="GREY_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Y_EMBLEM"/>
                          <pic:cNvPicPr>
                            <a:picLocks noChangeAspect="1" noChangeArrowheads="1"/>
                          </pic:cNvPicPr>
                        </pic:nvPicPr>
                        <pic:blipFill>
                          <a:blip r:embed="rId4" cstate="print"/>
                          <a:srcRect/>
                          <a:stretch>
                            <a:fillRect/>
                          </a:stretch>
                        </pic:blipFill>
                        <pic:spPr bwMode="auto">
                          <a:xfrm>
                            <a:off x="0" y="0"/>
                            <a:ext cx="476250" cy="619125"/>
                          </a:xfrm>
                          <a:prstGeom prst="rect">
                            <a:avLst/>
                          </a:prstGeom>
                          <a:noFill/>
                        </pic:spPr>
                      </pic:pic>
                    </a:graphicData>
                  </a:graphic>
                </wp:anchor>
              </w:drawing>
            </w:r>
          </w:p>
        </w:tc>
        <w:tc>
          <w:tcPr>
            <w:tcW w:w="0" w:type="auto"/>
            <w:vMerge w:val="restart"/>
            <w:vAlign w:val="center"/>
            <w:hideMark/>
          </w:tcPr>
          <w:p w:rsidR="00F13DA9" w:rsidRDefault="00F13DA9">
            <w:pPr>
              <w:rPr>
                <w:rFonts w:ascii="Arial" w:hAnsi="Arial" w:cs="Arial"/>
                <w:color w:val="1F497D"/>
              </w:rPr>
            </w:pP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71450" cy="952500"/>
                  <wp:effectExtent l="19050" t="0" r="0" b="0"/>
                  <wp:wrapSquare wrapText="bothSides"/>
                  <wp:docPr id="3" name="Picture 3" descr="GREY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Y_LINE"/>
                          <pic:cNvPicPr>
                            <a:picLocks noChangeAspect="1" noChangeArrowheads="1"/>
                          </pic:cNvPicPr>
                        </pic:nvPicPr>
                        <pic:blipFill>
                          <a:blip r:embed="rId5" cstate="print"/>
                          <a:srcRect/>
                          <a:stretch>
                            <a:fillRect/>
                          </a:stretch>
                        </pic:blipFill>
                        <pic:spPr bwMode="auto">
                          <a:xfrm>
                            <a:off x="0" y="0"/>
                            <a:ext cx="171450" cy="952500"/>
                          </a:xfrm>
                          <a:prstGeom prst="rect">
                            <a:avLst/>
                          </a:prstGeom>
                          <a:noFill/>
                        </pic:spPr>
                      </pic:pic>
                    </a:graphicData>
                  </a:graphic>
                </wp:anchor>
              </w:drawing>
            </w:r>
          </w:p>
        </w:tc>
      </w:tr>
      <w:tr w:rsidR="00F13DA9" w:rsidTr="00F13DA9">
        <w:trPr>
          <w:tblCellSpacing w:w="0" w:type="dxa"/>
        </w:trPr>
        <w:tc>
          <w:tcPr>
            <w:tcW w:w="0" w:type="auto"/>
            <w:vAlign w:val="center"/>
            <w:hideMark/>
          </w:tcPr>
          <w:p w:rsidR="00F13DA9" w:rsidRDefault="00F13DA9">
            <w:pPr>
              <w:rPr>
                <w:rFonts w:ascii="Arial" w:hAnsi="Arial" w:cs="Arial"/>
                <w:color w:val="1F497D"/>
              </w:rPr>
            </w:pPr>
            <w:r>
              <w:rPr>
                <w:rFonts w:ascii="Arial" w:hAnsi="Arial" w:cs="Arial"/>
                <w:b/>
                <w:bCs/>
                <w:color w:val="706F6F"/>
                <w:sz w:val="16"/>
                <w:szCs w:val="16"/>
              </w:rPr>
              <w:t xml:space="preserve">t: </w:t>
            </w:r>
            <w:r>
              <w:rPr>
                <w:rFonts w:ascii="Arial" w:hAnsi="Arial" w:cs="Arial"/>
                <w:color w:val="706F6F"/>
                <w:sz w:val="16"/>
                <w:szCs w:val="16"/>
              </w:rPr>
              <w:t>+356 2220 9856</w:t>
            </w:r>
            <w:r>
              <w:rPr>
                <w:rFonts w:ascii="Arial" w:hAnsi="Arial" w:cs="Arial"/>
                <w:color w:val="1F497D"/>
                <w:sz w:val="22"/>
                <w:szCs w:val="22"/>
              </w:rPr>
              <w:t xml:space="preserve"> </w:t>
            </w:r>
            <w:r>
              <w:rPr>
                <w:rFonts w:ascii="Arial" w:hAnsi="Arial" w:cs="Arial"/>
                <w:b/>
                <w:bCs/>
                <w:color w:val="706F6F"/>
                <w:sz w:val="16"/>
                <w:szCs w:val="16"/>
              </w:rPr>
              <w:t xml:space="preserve">e: </w:t>
            </w:r>
            <w:hyperlink r:id="rId6" w:history="1">
              <w:r>
                <w:rPr>
                  <w:rStyle w:val="Hyperlink"/>
                  <w:rFonts w:ascii="Arial" w:hAnsi="Arial" w:cs="Arial"/>
                  <w:sz w:val="16"/>
                  <w:szCs w:val="16"/>
                </w:rPr>
                <w:t>philip.c.vella@gov.mt</w:t>
              </w:r>
            </w:hyperlink>
            <w:r>
              <w:rPr>
                <w:rFonts w:ascii="Arial" w:hAnsi="Arial" w:cs="Arial"/>
                <w:color w:val="706F6F"/>
                <w:sz w:val="16"/>
                <w:szCs w:val="16"/>
              </w:rPr>
              <w:t xml:space="preserve"> | </w:t>
            </w:r>
            <w:hyperlink r:id="rId7" w:history="1">
              <w:r>
                <w:rPr>
                  <w:rStyle w:val="Hyperlink"/>
                  <w:rFonts w:ascii="Arial" w:hAnsi="Arial" w:cs="Arial"/>
                  <w:color w:val="706F6F"/>
                  <w:sz w:val="16"/>
                  <w:szCs w:val="16"/>
                </w:rPr>
                <w:t>www.economy.gov.mt</w:t>
              </w:r>
            </w:hyperlink>
            <w:r>
              <w:rPr>
                <w:rFonts w:ascii="Arial" w:hAnsi="Arial" w:cs="Arial"/>
                <w:color w:val="1F497D"/>
                <w:sz w:val="22"/>
                <w:szCs w:val="22"/>
              </w:rPr>
              <w:t xml:space="preserve"> </w:t>
            </w:r>
          </w:p>
        </w:tc>
        <w:tc>
          <w:tcPr>
            <w:tcW w:w="0" w:type="auto"/>
            <w:vAlign w:val="center"/>
            <w:hideMark/>
          </w:tcPr>
          <w:p w:rsidR="00F13DA9" w:rsidRDefault="00F13DA9">
            <w:pPr>
              <w:jc w:val="right"/>
              <w:rPr>
                <w:rFonts w:ascii="Calibri" w:hAnsi="Calibri"/>
                <w:color w:val="1F497D"/>
                <w:sz w:val="22"/>
                <w:szCs w:val="22"/>
              </w:rPr>
            </w:pPr>
            <w:r>
              <w:rPr>
                <w:rFonts w:ascii="Arial" w:hAnsi="Arial" w:cs="Arial"/>
                <w:color w:val="706F6F"/>
                <w:sz w:val="16"/>
                <w:szCs w:val="16"/>
              </w:rPr>
              <w:t>MINISTRY FOR THE ECONOMY, INVESTMENT AND SMALL BUSINESS</w:t>
            </w:r>
            <w:r>
              <w:rPr>
                <w:rFonts w:ascii="Arial" w:hAnsi="Arial" w:cs="Arial"/>
                <w:color w:val="1F497D"/>
                <w:sz w:val="22"/>
                <w:szCs w:val="22"/>
              </w:rPr>
              <w:t xml:space="preserve"> </w:t>
            </w:r>
          </w:p>
        </w:tc>
        <w:tc>
          <w:tcPr>
            <w:tcW w:w="0" w:type="auto"/>
            <w:vMerge/>
            <w:vAlign w:val="center"/>
            <w:hideMark/>
          </w:tcPr>
          <w:p w:rsidR="00F13DA9" w:rsidRDefault="00F13DA9">
            <w:pPr>
              <w:rPr>
                <w:rFonts w:ascii="Arial" w:hAnsi="Arial" w:cs="Arial"/>
                <w:color w:val="1F497D"/>
              </w:rPr>
            </w:pPr>
          </w:p>
        </w:tc>
      </w:tr>
      <w:tr w:rsidR="00F13DA9" w:rsidTr="00F13DA9">
        <w:trPr>
          <w:tblCellSpacing w:w="0" w:type="dxa"/>
        </w:trPr>
        <w:tc>
          <w:tcPr>
            <w:tcW w:w="0" w:type="auto"/>
            <w:vAlign w:val="center"/>
            <w:hideMark/>
          </w:tcPr>
          <w:p w:rsidR="00F13DA9" w:rsidRDefault="00F13DA9">
            <w:pPr>
              <w:rPr>
                <w:rFonts w:ascii="Arial" w:hAnsi="Arial" w:cs="Arial"/>
                <w:color w:val="1F497D"/>
              </w:rPr>
            </w:pPr>
            <w:r>
              <w:rPr>
                <w:rFonts w:ascii="Arial" w:hAnsi="Arial" w:cs="Arial"/>
                <w:i/>
                <w:iCs/>
                <w:color w:val="AFBB89"/>
                <w:sz w:val="16"/>
                <w:szCs w:val="16"/>
              </w:rPr>
              <w:t xml:space="preserve">Kindly consider your environmental responsibility before printing this e-mail </w:t>
            </w:r>
          </w:p>
        </w:tc>
        <w:tc>
          <w:tcPr>
            <w:tcW w:w="0" w:type="auto"/>
            <w:vAlign w:val="center"/>
            <w:hideMark/>
          </w:tcPr>
          <w:p w:rsidR="00F13DA9" w:rsidRDefault="00F13DA9">
            <w:pPr>
              <w:jc w:val="right"/>
              <w:rPr>
                <w:rFonts w:ascii="Arial" w:hAnsi="Arial" w:cs="Arial"/>
                <w:color w:val="1F497D"/>
              </w:rPr>
            </w:pPr>
            <w:r>
              <w:rPr>
                <w:rFonts w:ascii="Arial" w:hAnsi="Arial" w:cs="Arial"/>
                <w:color w:val="9D9D9C"/>
                <w:sz w:val="16"/>
                <w:szCs w:val="16"/>
              </w:rPr>
              <w:t>Millennia, 1st Floor, Aldo Moro Road, MARSA, MALTA</w:t>
            </w:r>
            <w:r>
              <w:rPr>
                <w:rFonts w:ascii="Arial" w:hAnsi="Arial" w:cs="Arial"/>
                <w:color w:val="1F497D"/>
                <w:sz w:val="22"/>
                <w:szCs w:val="22"/>
              </w:rPr>
              <w:t xml:space="preserve"> </w:t>
            </w:r>
          </w:p>
        </w:tc>
        <w:tc>
          <w:tcPr>
            <w:tcW w:w="0" w:type="auto"/>
            <w:vMerge/>
            <w:vAlign w:val="center"/>
            <w:hideMark/>
          </w:tcPr>
          <w:p w:rsidR="00F13DA9" w:rsidRDefault="00F13DA9">
            <w:pPr>
              <w:rPr>
                <w:rFonts w:ascii="Arial" w:hAnsi="Arial" w:cs="Arial"/>
                <w:color w:val="1F497D"/>
              </w:rPr>
            </w:pPr>
          </w:p>
        </w:tc>
      </w:tr>
    </w:tbl>
    <w:p w:rsidR="00C12445" w:rsidRDefault="00C12445"/>
    <w:sectPr w:rsidR="00C12445" w:rsidSect="00C124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13DA9"/>
    <w:rsid w:val="005F4278"/>
    <w:rsid w:val="006D273A"/>
    <w:rsid w:val="00C12445"/>
    <w:rsid w:val="00D861AD"/>
    <w:rsid w:val="00F13D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DA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3DA9"/>
    <w:rPr>
      <w:color w:val="0000FF"/>
      <w:u w:val="single"/>
    </w:rPr>
  </w:style>
</w:styles>
</file>

<file path=word/webSettings.xml><?xml version="1.0" encoding="utf-8"?>
<w:webSettings xmlns:r="http://schemas.openxmlformats.org/officeDocument/2006/relationships" xmlns:w="http://schemas.openxmlformats.org/wordprocessingml/2006/main">
  <w:divs>
    <w:div w:id="109177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www.economy.gov.m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ilip.c.vella@gov.mt"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1</cp:revision>
  <dcterms:created xsi:type="dcterms:W3CDTF">2014-08-14T09:00:00Z</dcterms:created>
  <dcterms:modified xsi:type="dcterms:W3CDTF">2014-08-14T09:01:00Z</dcterms:modified>
</cp:coreProperties>
</file>