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7D" w:rsidRDefault="00FA2A91">
      <w:pPr>
        <w:widowControl/>
        <w:spacing w:before="400"/>
      </w:pPr>
      <w:r>
        <w:rPr>
          <w:noProof/>
          <w:sz w:val="20"/>
          <w:lang w:eastAsia="en-GB"/>
        </w:rPr>
        <w:drawing>
          <wp:inline distT="0" distB="0" distL="0" distR="0">
            <wp:extent cx="6000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0075" cy="800100"/>
                    </a:xfrm>
                    <a:prstGeom prst="rect">
                      <a:avLst/>
                    </a:prstGeom>
                    <a:noFill/>
                    <a:ln w="9525">
                      <a:noFill/>
                      <a:miter lim="800000"/>
                      <a:headEnd/>
                      <a:tailEnd/>
                    </a:ln>
                  </pic:spPr>
                </pic:pic>
              </a:graphicData>
            </a:graphic>
          </wp:inline>
        </w:drawing>
      </w:r>
    </w:p>
    <w:p w:rsidR="002C067D" w:rsidRDefault="007A1DC4">
      <w:pPr>
        <w:pStyle w:val="Heading5"/>
        <w:widowControl/>
      </w:pPr>
      <w:r>
        <w:t>MEMORANDUM</w:t>
      </w:r>
    </w:p>
    <w:tbl>
      <w:tblPr>
        <w:tblW w:w="8832" w:type="dxa"/>
        <w:tblLayout w:type="fixed"/>
        <w:tblLook w:val="0000"/>
      </w:tblPr>
      <w:tblGrid>
        <w:gridCol w:w="817"/>
        <w:gridCol w:w="3969"/>
        <w:gridCol w:w="709"/>
        <w:gridCol w:w="3337"/>
      </w:tblGrid>
      <w:tr w:rsidR="002C067D">
        <w:tc>
          <w:tcPr>
            <w:tcW w:w="817" w:type="dxa"/>
          </w:tcPr>
          <w:p w:rsidR="002C067D" w:rsidRDefault="002C067D">
            <w:pPr>
              <w:pStyle w:val="Heading6"/>
              <w:widowControl/>
            </w:pPr>
          </w:p>
        </w:tc>
        <w:tc>
          <w:tcPr>
            <w:tcW w:w="3969" w:type="dxa"/>
          </w:tcPr>
          <w:p w:rsidR="002C067D" w:rsidRDefault="002C067D">
            <w:pPr>
              <w:pStyle w:val="Heading8"/>
              <w:widowControl/>
            </w:pPr>
          </w:p>
        </w:tc>
        <w:tc>
          <w:tcPr>
            <w:tcW w:w="709" w:type="dxa"/>
          </w:tcPr>
          <w:p w:rsidR="002C067D" w:rsidRDefault="002C067D">
            <w:pPr>
              <w:pStyle w:val="Heading6"/>
              <w:widowControl/>
            </w:pPr>
          </w:p>
        </w:tc>
        <w:tc>
          <w:tcPr>
            <w:tcW w:w="3337" w:type="dxa"/>
          </w:tcPr>
          <w:p w:rsidR="002C067D" w:rsidRDefault="002C067D">
            <w:pPr>
              <w:pStyle w:val="Heading6"/>
              <w:widowControl/>
            </w:pPr>
          </w:p>
        </w:tc>
      </w:tr>
      <w:tr w:rsidR="002C067D">
        <w:tc>
          <w:tcPr>
            <w:tcW w:w="817" w:type="dxa"/>
          </w:tcPr>
          <w:p w:rsidR="002C067D" w:rsidRDefault="002C067D">
            <w:pPr>
              <w:pStyle w:val="Heading6"/>
              <w:widowControl/>
            </w:pPr>
            <w:r>
              <w:rPr>
                <w:sz w:val="20"/>
              </w:rPr>
              <w:t>To</w:t>
            </w:r>
          </w:p>
        </w:tc>
        <w:tc>
          <w:tcPr>
            <w:tcW w:w="3969" w:type="dxa"/>
          </w:tcPr>
          <w:p w:rsidR="002C067D" w:rsidRDefault="004C662E">
            <w:pPr>
              <w:pStyle w:val="Heading8"/>
              <w:widowControl/>
            </w:pPr>
            <w:r>
              <w:t>Cabinet</w:t>
            </w:r>
          </w:p>
        </w:tc>
        <w:tc>
          <w:tcPr>
            <w:tcW w:w="709" w:type="dxa"/>
          </w:tcPr>
          <w:p w:rsidR="002C067D" w:rsidRDefault="002C067D">
            <w:pPr>
              <w:pStyle w:val="Heading6"/>
              <w:widowControl/>
            </w:pPr>
            <w:r>
              <w:rPr>
                <w:sz w:val="20"/>
              </w:rPr>
              <w:t>Date</w:t>
            </w:r>
          </w:p>
        </w:tc>
        <w:tc>
          <w:tcPr>
            <w:tcW w:w="3337" w:type="dxa"/>
          </w:tcPr>
          <w:p w:rsidR="002C067D" w:rsidRDefault="00227843">
            <w:pPr>
              <w:pStyle w:val="Heading8"/>
              <w:widowControl/>
            </w:pPr>
            <w:fldSimple w:instr=" DATE \@ &quot;dddd, dd MMMM yyyy&quot; ">
              <w:r w:rsidR="00F013F7">
                <w:rPr>
                  <w:noProof/>
                </w:rPr>
                <w:t>Tuesday, 22 April 2014</w:t>
              </w:r>
            </w:fldSimple>
          </w:p>
        </w:tc>
      </w:tr>
      <w:tr w:rsidR="002C067D">
        <w:tc>
          <w:tcPr>
            <w:tcW w:w="817" w:type="dxa"/>
          </w:tcPr>
          <w:p w:rsidR="002C067D" w:rsidRDefault="002C067D">
            <w:pPr>
              <w:pStyle w:val="Heading6"/>
              <w:widowControl/>
            </w:pPr>
          </w:p>
        </w:tc>
        <w:tc>
          <w:tcPr>
            <w:tcW w:w="3969" w:type="dxa"/>
          </w:tcPr>
          <w:p w:rsidR="002C067D" w:rsidRDefault="002C067D">
            <w:pPr>
              <w:pStyle w:val="Heading8"/>
              <w:widowControl/>
            </w:pPr>
          </w:p>
        </w:tc>
        <w:tc>
          <w:tcPr>
            <w:tcW w:w="709" w:type="dxa"/>
          </w:tcPr>
          <w:p w:rsidR="002C067D" w:rsidRDefault="002C067D">
            <w:pPr>
              <w:pStyle w:val="Heading6"/>
              <w:widowControl/>
            </w:pPr>
          </w:p>
        </w:tc>
        <w:tc>
          <w:tcPr>
            <w:tcW w:w="3337" w:type="dxa"/>
          </w:tcPr>
          <w:p w:rsidR="002C067D" w:rsidRDefault="002C067D">
            <w:pPr>
              <w:pStyle w:val="Heading6"/>
              <w:widowControl/>
            </w:pPr>
          </w:p>
        </w:tc>
      </w:tr>
      <w:tr w:rsidR="002C067D">
        <w:tc>
          <w:tcPr>
            <w:tcW w:w="817" w:type="dxa"/>
          </w:tcPr>
          <w:p w:rsidR="002C067D" w:rsidRDefault="002C067D">
            <w:pPr>
              <w:pStyle w:val="Heading6"/>
              <w:widowControl/>
            </w:pPr>
            <w:r>
              <w:rPr>
                <w:sz w:val="20"/>
              </w:rPr>
              <w:t>From</w:t>
            </w:r>
          </w:p>
        </w:tc>
        <w:tc>
          <w:tcPr>
            <w:tcW w:w="3969" w:type="dxa"/>
          </w:tcPr>
          <w:p w:rsidR="008C6A9A" w:rsidRDefault="00A9704B" w:rsidP="008C6A9A">
            <w:pPr>
              <w:pStyle w:val="Heading8"/>
              <w:widowControl/>
            </w:pPr>
            <w:r>
              <w:t>The</w:t>
            </w:r>
            <w:r w:rsidR="00FA2A91">
              <w:t xml:space="preserve"> Hon.</w:t>
            </w:r>
            <w:r w:rsidR="001B1506">
              <w:t xml:space="preserve"> Dr.</w:t>
            </w:r>
            <w:r w:rsidR="00FA2A91">
              <w:t xml:space="preserve"> Christian Cardona, MEIB;</w:t>
            </w:r>
          </w:p>
          <w:p w:rsidR="002C067D" w:rsidRDefault="002C067D" w:rsidP="008C6A9A">
            <w:pPr>
              <w:pStyle w:val="Heading8"/>
              <w:widowControl/>
            </w:pPr>
          </w:p>
        </w:tc>
        <w:tc>
          <w:tcPr>
            <w:tcW w:w="709" w:type="dxa"/>
          </w:tcPr>
          <w:p w:rsidR="002C067D" w:rsidRDefault="002C067D">
            <w:pPr>
              <w:pStyle w:val="Heading6"/>
              <w:widowControl/>
            </w:pPr>
            <w:r>
              <w:rPr>
                <w:sz w:val="20"/>
              </w:rPr>
              <w:t>File</w:t>
            </w:r>
          </w:p>
        </w:tc>
        <w:tc>
          <w:tcPr>
            <w:tcW w:w="3337" w:type="dxa"/>
          </w:tcPr>
          <w:p w:rsidR="002C067D" w:rsidRDefault="002C067D">
            <w:pPr>
              <w:pStyle w:val="Heading8"/>
              <w:widowControl/>
            </w:pPr>
          </w:p>
        </w:tc>
      </w:tr>
      <w:tr w:rsidR="002C067D">
        <w:tc>
          <w:tcPr>
            <w:tcW w:w="817" w:type="dxa"/>
          </w:tcPr>
          <w:p w:rsidR="002C067D" w:rsidRDefault="002C067D">
            <w:pPr>
              <w:pStyle w:val="Heading6"/>
              <w:widowControl/>
            </w:pPr>
          </w:p>
        </w:tc>
        <w:tc>
          <w:tcPr>
            <w:tcW w:w="3969" w:type="dxa"/>
          </w:tcPr>
          <w:p w:rsidR="002C067D" w:rsidRDefault="002C067D">
            <w:pPr>
              <w:pStyle w:val="Heading8"/>
              <w:widowControl/>
            </w:pPr>
          </w:p>
        </w:tc>
        <w:tc>
          <w:tcPr>
            <w:tcW w:w="709" w:type="dxa"/>
          </w:tcPr>
          <w:p w:rsidR="002C067D" w:rsidRDefault="002C067D">
            <w:pPr>
              <w:widowControl/>
              <w:spacing w:before="0"/>
              <w:jc w:val="left"/>
              <w:rPr>
                <w:b/>
              </w:rPr>
            </w:pPr>
          </w:p>
        </w:tc>
        <w:tc>
          <w:tcPr>
            <w:tcW w:w="3337" w:type="dxa"/>
          </w:tcPr>
          <w:p w:rsidR="002C067D" w:rsidRDefault="002C067D">
            <w:pPr>
              <w:widowControl/>
              <w:spacing w:before="0"/>
            </w:pPr>
          </w:p>
        </w:tc>
      </w:tr>
    </w:tbl>
    <w:p w:rsidR="002C067D" w:rsidRPr="00FE3C70" w:rsidRDefault="002C067D">
      <w:pPr>
        <w:pStyle w:val="Heading7"/>
        <w:widowControl/>
      </w:pPr>
      <w:r>
        <w:t>Subject</w:t>
      </w:r>
      <w:r w:rsidR="007A1DC4" w:rsidRPr="00FE3C70">
        <w:t xml:space="preserve">:  </w:t>
      </w:r>
      <w:r w:rsidR="00967DD6">
        <w:t>Ratification</w:t>
      </w:r>
      <w:r w:rsidR="008C6A9A">
        <w:t xml:space="preserve"> for</w:t>
      </w:r>
      <w:r w:rsidR="00967DD6">
        <w:t xml:space="preserve"> </w:t>
      </w:r>
      <w:r w:rsidR="008C6A9A">
        <w:t xml:space="preserve">the trade agreement between the European Union and Colombia and Peru </w:t>
      </w:r>
    </w:p>
    <w:p w:rsidR="00FE3C70" w:rsidRDefault="00FE3C70" w:rsidP="00FE3C70">
      <w:pPr>
        <w:rPr>
          <w:b/>
        </w:rPr>
      </w:pPr>
      <w:r w:rsidRPr="00BB79D0">
        <w:rPr>
          <w:b/>
        </w:rPr>
        <w:t>Background</w:t>
      </w:r>
    </w:p>
    <w:p w:rsidR="008C6A9A" w:rsidRDefault="00267F1F" w:rsidP="00FE3C70">
      <w:pPr>
        <w:rPr>
          <w:bCs/>
          <w:iCs/>
          <w:szCs w:val="22"/>
        </w:rPr>
      </w:pPr>
      <w:r>
        <w:rPr>
          <w:bCs/>
          <w:iCs/>
          <w:szCs w:val="22"/>
        </w:rPr>
        <w:t>The EU and</w:t>
      </w:r>
      <w:r w:rsidR="008C6A9A" w:rsidRPr="001D4F0B">
        <w:rPr>
          <w:bCs/>
          <w:iCs/>
          <w:szCs w:val="22"/>
        </w:rPr>
        <w:t xml:space="preserve"> Colombia and Peru announced the conclusion of negotiations for a trade agreement in May 2010 during the EU-LAC summit. In April 2011, EU Trade Commissioner Karel De Gucht, the Minister of Trade, Industry and Tourism of Colombia and the Deputy Minister for Foreign Trade of Peru welcomed the initialling of the Trade Agreement after the conclusion of </w:t>
      </w:r>
      <w:r w:rsidR="00DB5163">
        <w:rPr>
          <w:bCs/>
          <w:iCs/>
          <w:szCs w:val="22"/>
        </w:rPr>
        <w:t xml:space="preserve">the </w:t>
      </w:r>
      <w:r w:rsidR="008C6A9A" w:rsidRPr="001D4F0B">
        <w:rPr>
          <w:bCs/>
          <w:iCs/>
          <w:szCs w:val="22"/>
        </w:rPr>
        <w:t>legal review.</w:t>
      </w:r>
    </w:p>
    <w:p w:rsidR="00267F1F" w:rsidRDefault="00344B41" w:rsidP="00267F1F">
      <w:pPr>
        <w:rPr>
          <w:szCs w:val="22"/>
        </w:rPr>
      </w:pPr>
      <w:r>
        <w:rPr>
          <w:szCs w:val="22"/>
        </w:rPr>
        <w:t xml:space="preserve">Following a proposal for a Council Decision </w:t>
      </w:r>
      <w:r w:rsidR="00185FA7" w:rsidRPr="00713671">
        <w:rPr>
          <w:szCs w:val="22"/>
        </w:rPr>
        <w:t xml:space="preserve">on the signing of the Agreement and its provisional application </w:t>
      </w:r>
      <w:r>
        <w:rPr>
          <w:szCs w:val="22"/>
        </w:rPr>
        <w:t>and discussions in relation to competence issues on certain parts of the Agreement</w:t>
      </w:r>
      <w:r w:rsidR="00F45579">
        <w:rPr>
          <w:rStyle w:val="FootnoteReference"/>
          <w:szCs w:val="22"/>
        </w:rPr>
        <w:footnoteReference w:id="1"/>
      </w:r>
      <w:r w:rsidR="00F45579">
        <w:rPr>
          <w:szCs w:val="22"/>
        </w:rPr>
        <w:t>,</w:t>
      </w:r>
      <w:r w:rsidR="00185FA7" w:rsidRPr="00713671">
        <w:rPr>
          <w:szCs w:val="22"/>
        </w:rPr>
        <w:t xml:space="preserve"> the Danish Presidency </w:t>
      </w:r>
      <w:r w:rsidR="00F45579">
        <w:rPr>
          <w:szCs w:val="22"/>
        </w:rPr>
        <w:t xml:space="preserve">circulated a revised proposal </w:t>
      </w:r>
      <w:r w:rsidR="00185FA7" w:rsidRPr="00713671">
        <w:rPr>
          <w:szCs w:val="22"/>
        </w:rPr>
        <w:t>on 9 February 2012</w:t>
      </w:r>
      <w:r w:rsidR="00F45579">
        <w:rPr>
          <w:szCs w:val="22"/>
        </w:rPr>
        <w:t xml:space="preserve"> to address these concerns</w:t>
      </w:r>
      <w:r w:rsidR="00185FA7" w:rsidRPr="00713671">
        <w:rPr>
          <w:szCs w:val="22"/>
        </w:rPr>
        <w:t xml:space="preserve">. The proposal </w:t>
      </w:r>
      <w:r w:rsidR="00F45579">
        <w:rPr>
          <w:szCs w:val="22"/>
        </w:rPr>
        <w:t>gave</w:t>
      </w:r>
      <w:r w:rsidR="00185FA7" w:rsidRPr="00713671">
        <w:rPr>
          <w:szCs w:val="22"/>
        </w:rPr>
        <w:t xml:space="preserve"> authority to the President of the Council to authorise a designate person(s) empowered to sign the Agreement on behalf of the European Union subject to its conclusion. </w:t>
      </w:r>
      <w:r w:rsidR="00185FA7">
        <w:rPr>
          <w:szCs w:val="22"/>
        </w:rPr>
        <w:t>This enabled the</w:t>
      </w:r>
      <w:r w:rsidR="00185FA7" w:rsidRPr="00713671">
        <w:rPr>
          <w:szCs w:val="22"/>
        </w:rPr>
        <w:t xml:space="preserve"> Agreement </w:t>
      </w:r>
      <w:r w:rsidR="00185FA7">
        <w:rPr>
          <w:szCs w:val="22"/>
        </w:rPr>
        <w:t>to</w:t>
      </w:r>
      <w:r w:rsidR="00185FA7" w:rsidRPr="00713671">
        <w:rPr>
          <w:szCs w:val="22"/>
        </w:rPr>
        <w:t xml:space="preserve"> be applied on a provisional basis by the Union as provided in Article 330 paragraph 3 of the Agreement, pending the completion of the procedures for its conclusion.</w:t>
      </w:r>
      <w:r w:rsidR="00267F1F">
        <w:rPr>
          <w:szCs w:val="22"/>
        </w:rPr>
        <w:t xml:space="preserve"> </w:t>
      </w:r>
    </w:p>
    <w:p w:rsidR="00185FA7" w:rsidRDefault="008A2909" w:rsidP="00185FA7">
      <w:pPr>
        <w:rPr>
          <w:szCs w:val="22"/>
        </w:rPr>
      </w:pPr>
      <w:r w:rsidRPr="007756A4">
        <w:rPr>
          <w:szCs w:val="22"/>
        </w:rPr>
        <w:t>The Council Decision on the signing, on behalf of the Union, and the provisional application of the Trade Agreement between the European Union and its Member States, of the one part, and Colombi</w:t>
      </w:r>
      <w:r w:rsidR="007756A4" w:rsidRPr="007756A4">
        <w:rPr>
          <w:szCs w:val="22"/>
        </w:rPr>
        <w:t>a</w:t>
      </w:r>
      <w:r w:rsidRPr="007756A4">
        <w:rPr>
          <w:szCs w:val="22"/>
        </w:rPr>
        <w:t xml:space="preserve"> and Peru, of the other part was taken on 31 May 2012.</w:t>
      </w:r>
      <w:r>
        <w:rPr>
          <w:szCs w:val="22"/>
        </w:rPr>
        <w:t xml:space="preserve"> </w:t>
      </w:r>
      <w:r w:rsidR="00DB5163" w:rsidRPr="00D4098D">
        <w:rPr>
          <w:szCs w:val="22"/>
          <w:lang w:eastAsia="en-GB"/>
        </w:rPr>
        <w:t xml:space="preserve">On 11 December 2012 the European Parliament approved the Trade Agreement. </w:t>
      </w:r>
    </w:p>
    <w:p w:rsidR="007402AA" w:rsidRDefault="00DB5163" w:rsidP="007402AA">
      <w:pPr>
        <w:rPr>
          <w:szCs w:val="22"/>
          <w:lang w:eastAsia="en-GB"/>
        </w:rPr>
      </w:pPr>
      <w:r w:rsidRPr="00D4098D">
        <w:rPr>
          <w:szCs w:val="22"/>
          <w:lang w:eastAsia="en-GB"/>
        </w:rPr>
        <w:t xml:space="preserve">The Agreement, together with the Council Decision on the signing, on behalf of the Union, and </w:t>
      </w:r>
      <w:r w:rsidR="00F45579">
        <w:rPr>
          <w:szCs w:val="22"/>
          <w:lang w:eastAsia="en-GB"/>
        </w:rPr>
        <w:t xml:space="preserve">its </w:t>
      </w:r>
      <w:r w:rsidRPr="00D4098D">
        <w:rPr>
          <w:szCs w:val="22"/>
          <w:lang w:eastAsia="en-GB"/>
        </w:rPr>
        <w:t>provisional application</w:t>
      </w:r>
      <w:r w:rsidR="008A2909">
        <w:rPr>
          <w:szCs w:val="22"/>
          <w:lang w:eastAsia="en-GB"/>
        </w:rPr>
        <w:t xml:space="preserve">, </w:t>
      </w:r>
      <w:r w:rsidR="00F45579">
        <w:rPr>
          <w:szCs w:val="22"/>
          <w:lang w:eastAsia="en-GB"/>
        </w:rPr>
        <w:t>was</w:t>
      </w:r>
      <w:r w:rsidR="008A2909">
        <w:rPr>
          <w:szCs w:val="22"/>
          <w:lang w:eastAsia="en-GB"/>
        </w:rPr>
        <w:t xml:space="preserve"> published in the O</w:t>
      </w:r>
      <w:r w:rsidRPr="00D4098D">
        <w:rPr>
          <w:szCs w:val="22"/>
          <w:lang w:eastAsia="en-GB"/>
        </w:rPr>
        <w:t>fficial Journal L354 on 21 December 2012.</w:t>
      </w:r>
    </w:p>
    <w:p w:rsidR="00344B41" w:rsidRDefault="008940EE" w:rsidP="00344B41">
      <w:pPr>
        <w:rPr>
          <w:szCs w:val="22"/>
          <w:lang w:eastAsia="en-GB"/>
        </w:rPr>
      </w:pPr>
      <w:r>
        <w:rPr>
          <w:szCs w:val="22"/>
          <w:lang w:eastAsia="en-GB"/>
        </w:rPr>
        <w:t>T</w:t>
      </w:r>
      <w:r w:rsidR="00DB5163" w:rsidRPr="00D4098D">
        <w:rPr>
          <w:szCs w:val="22"/>
          <w:lang w:eastAsia="en-GB"/>
        </w:rPr>
        <w:t>he Peruvian Congress unanimously approved the Agreement</w:t>
      </w:r>
      <w:r>
        <w:rPr>
          <w:szCs w:val="22"/>
          <w:lang w:eastAsia="en-GB"/>
        </w:rPr>
        <w:t xml:space="preserve"> on 12 December 2012</w:t>
      </w:r>
      <w:r w:rsidR="00DB5163" w:rsidRPr="00D4098D">
        <w:rPr>
          <w:szCs w:val="22"/>
          <w:lang w:eastAsia="en-GB"/>
        </w:rPr>
        <w:t xml:space="preserve">. With this </w:t>
      </w:r>
      <w:r w:rsidR="00DB5163">
        <w:rPr>
          <w:szCs w:val="22"/>
          <w:lang w:eastAsia="en-GB"/>
        </w:rPr>
        <w:t>a</w:t>
      </w:r>
      <w:r w:rsidR="00DB5163" w:rsidRPr="00D4098D">
        <w:rPr>
          <w:szCs w:val="22"/>
          <w:lang w:eastAsia="en-GB"/>
        </w:rPr>
        <w:t>ct the internal procedures required for a full application of the Agreement in Peru w</w:t>
      </w:r>
      <w:r>
        <w:rPr>
          <w:szCs w:val="22"/>
          <w:lang w:eastAsia="en-GB"/>
        </w:rPr>
        <w:t>ere</w:t>
      </w:r>
      <w:r w:rsidR="00DB5163" w:rsidRPr="00D4098D">
        <w:rPr>
          <w:szCs w:val="22"/>
          <w:lang w:eastAsia="en-GB"/>
        </w:rPr>
        <w:t xml:space="preserve"> completed.</w:t>
      </w:r>
      <w:r w:rsidR="00DB5163">
        <w:rPr>
          <w:szCs w:val="22"/>
          <w:lang w:eastAsia="en-GB"/>
        </w:rPr>
        <w:t xml:space="preserve"> </w:t>
      </w:r>
      <w:r>
        <w:rPr>
          <w:szCs w:val="22"/>
          <w:lang w:eastAsia="en-GB"/>
        </w:rPr>
        <w:t>On the other hand, the Colombian Senate approved the Agreement on 13 December 2012</w:t>
      </w:r>
      <w:r w:rsidR="00185FA7">
        <w:rPr>
          <w:szCs w:val="22"/>
          <w:lang w:eastAsia="en-GB"/>
        </w:rPr>
        <w:t xml:space="preserve"> and concluded the internal procedure required for its</w:t>
      </w:r>
      <w:r>
        <w:rPr>
          <w:szCs w:val="22"/>
          <w:lang w:eastAsia="en-GB"/>
        </w:rPr>
        <w:t xml:space="preserve"> provisional application </w:t>
      </w:r>
      <w:r w:rsidR="00185FA7">
        <w:rPr>
          <w:szCs w:val="22"/>
          <w:lang w:eastAsia="en-GB"/>
        </w:rPr>
        <w:t>in June 2013</w:t>
      </w:r>
      <w:r>
        <w:rPr>
          <w:szCs w:val="22"/>
          <w:lang w:eastAsia="en-GB"/>
        </w:rPr>
        <w:t xml:space="preserve">. </w:t>
      </w:r>
    </w:p>
    <w:p w:rsidR="003E5077" w:rsidRDefault="001D536D" w:rsidP="00344B41">
      <w:pPr>
        <w:rPr>
          <w:lang w:eastAsia="en-GB"/>
        </w:rPr>
      </w:pPr>
      <w:r>
        <w:rPr>
          <w:lang w:eastAsia="en-GB"/>
        </w:rPr>
        <w:lastRenderedPageBreak/>
        <w:t>On 15 February 2013, the Presidency announced that the EU had completed all its internal procedures. The EU’s internal procedures were transmitted to COREPER on the 20</w:t>
      </w:r>
      <w:r w:rsidRPr="00FF5105">
        <w:rPr>
          <w:vertAlign w:val="superscript"/>
          <w:lang w:eastAsia="en-GB"/>
        </w:rPr>
        <w:t>th</w:t>
      </w:r>
      <w:r>
        <w:rPr>
          <w:lang w:eastAsia="en-GB"/>
        </w:rPr>
        <w:t xml:space="preserve"> February and to the Foreign Affairs Council on the 25</w:t>
      </w:r>
      <w:r w:rsidRPr="00FF5105">
        <w:rPr>
          <w:vertAlign w:val="superscript"/>
          <w:lang w:eastAsia="en-GB"/>
        </w:rPr>
        <w:t>th</w:t>
      </w:r>
      <w:r>
        <w:rPr>
          <w:lang w:eastAsia="en-GB"/>
        </w:rPr>
        <w:t xml:space="preserve"> February. The agreement with Peru came into force provisionally on 1</w:t>
      </w:r>
      <w:r>
        <w:rPr>
          <w:vertAlign w:val="superscript"/>
          <w:lang w:eastAsia="en-GB"/>
        </w:rPr>
        <w:t xml:space="preserve">st </w:t>
      </w:r>
      <w:r>
        <w:rPr>
          <w:lang w:eastAsia="en-GB"/>
        </w:rPr>
        <w:t>March 2013</w:t>
      </w:r>
      <w:r w:rsidR="00EF5953">
        <w:rPr>
          <w:lang w:eastAsia="en-GB"/>
        </w:rPr>
        <w:t xml:space="preserve"> while the provisional agreement </w:t>
      </w:r>
      <w:r w:rsidR="00F45579">
        <w:rPr>
          <w:lang w:eastAsia="en-GB"/>
        </w:rPr>
        <w:t>with</w:t>
      </w:r>
      <w:r w:rsidR="00EF5953">
        <w:rPr>
          <w:lang w:eastAsia="en-GB"/>
        </w:rPr>
        <w:t xml:space="preserve"> Colombia came into effect on 1</w:t>
      </w:r>
      <w:r w:rsidR="00EF5953" w:rsidRPr="00EF5953">
        <w:rPr>
          <w:vertAlign w:val="superscript"/>
          <w:lang w:eastAsia="en-GB"/>
        </w:rPr>
        <w:t>st</w:t>
      </w:r>
      <w:r w:rsidR="00EF5953">
        <w:rPr>
          <w:lang w:eastAsia="en-GB"/>
        </w:rPr>
        <w:t xml:space="preserve"> August 2013</w:t>
      </w:r>
      <w:r>
        <w:rPr>
          <w:lang w:eastAsia="en-GB"/>
        </w:rPr>
        <w:t>.</w:t>
      </w:r>
    </w:p>
    <w:p w:rsidR="00EF5953" w:rsidRPr="00EF5953" w:rsidRDefault="00EF5953" w:rsidP="00EF5953">
      <w:pPr>
        <w:pStyle w:val="Body"/>
        <w:spacing w:after="120" w:line="240" w:lineRule="exact"/>
        <w:rPr>
          <w:lang w:eastAsia="en-GB"/>
        </w:rPr>
      </w:pPr>
    </w:p>
    <w:p w:rsidR="003E5077" w:rsidRDefault="00967DD6" w:rsidP="003E5077">
      <w:pPr>
        <w:pStyle w:val="Heading7"/>
        <w:widowControl/>
        <w:rPr>
          <w:b w:val="0"/>
          <w:i/>
        </w:rPr>
      </w:pPr>
      <w:r w:rsidRPr="003E5077">
        <w:rPr>
          <w:b w:val="0"/>
          <w:i/>
          <w:szCs w:val="22"/>
        </w:rPr>
        <w:t xml:space="preserve">Objectives of </w:t>
      </w:r>
      <w:r w:rsidR="003E5077">
        <w:rPr>
          <w:b w:val="0"/>
          <w:i/>
          <w:szCs w:val="22"/>
        </w:rPr>
        <w:t xml:space="preserve">the </w:t>
      </w:r>
      <w:r w:rsidR="003E5077" w:rsidRPr="003E5077">
        <w:rPr>
          <w:b w:val="0"/>
          <w:i/>
        </w:rPr>
        <w:t xml:space="preserve">trade agreement between the European Union and Colombia and Peru </w:t>
      </w:r>
    </w:p>
    <w:p w:rsidR="003E5077" w:rsidRPr="001D4F0B" w:rsidRDefault="003E5077" w:rsidP="003E5077">
      <w:pPr>
        <w:rPr>
          <w:bCs/>
          <w:iCs/>
          <w:szCs w:val="22"/>
        </w:rPr>
      </w:pPr>
      <w:r w:rsidRPr="001D4F0B">
        <w:rPr>
          <w:bCs/>
          <w:iCs/>
          <w:szCs w:val="22"/>
        </w:rPr>
        <w:t xml:space="preserve">This Agreement is estimated to be worth half a billion Euros in duties saved alone and is expected to boost </w:t>
      </w:r>
      <w:smartTag w:uri="urn:schemas-microsoft-com:office:smarttags" w:element="country-region">
        <w:r w:rsidRPr="001D4F0B">
          <w:rPr>
            <w:bCs/>
            <w:iCs/>
            <w:szCs w:val="22"/>
          </w:rPr>
          <w:t>Colombia</w:t>
        </w:r>
      </w:smartTag>
      <w:r w:rsidRPr="001D4F0B">
        <w:rPr>
          <w:bCs/>
          <w:iCs/>
          <w:szCs w:val="22"/>
        </w:rPr>
        <w:t xml:space="preserve"> and </w:t>
      </w:r>
      <w:smartTag w:uri="urn:schemas-microsoft-com:office:smarttags" w:element="place">
        <w:smartTag w:uri="urn:schemas-microsoft-com:office:smarttags" w:element="country-region">
          <w:r w:rsidRPr="001D4F0B">
            <w:rPr>
              <w:bCs/>
              <w:iCs/>
              <w:szCs w:val="22"/>
            </w:rPr>
            <w:t>Peru</w:t>
          </w:r>
        </w:smartTag>
      </w:smartTag>
      <w:r w:rsidRPr="001D4F0B">
        <w:rPr>
          <w:bCs/>
          <w:iCs/>
          <w:szCs w:val="22"/>
        </w:rPr>
        <w:t>'s economies by close to 1% of GDP. Above all, it recognises that the partnership between the EU</w:t>
      </w:r>
      <w:r w:rsidR="00F45579">
        <w:rPr>
          <w:bCs/>
          <w:iCs/>
          <w:szCs w:val="22"/>
        </w:rPr>
        <w:t xml:space="preserve"> and</w:t>
      </w:r>
      <w:r w:rsidRPr="001D4F0B">
        <w:rPr>
          <w:bCs/>
          <w:iCs/>
          <w:szCs w:val="22"/>
        </w:rPr>
        <w:t xml:space="preserve"> Colombia and Peru is based on the respect of democratic principles, fundamental human rights and the respect for the principle of the rule of law.</w:t>
      </w:r>
    </w:p>
    <w:p w:rsidR="0085425E" w:rsidRDefault="003E5077" w:rsidP="003E5077">
      <w:pPr>
        <w:rPr>
          <w:szCs w:val="22"/>
        </w:rPr>
      </w:pPr>
      <w:r w:rsidRPr="001D4F0B">
        <w:rPr>
          <w:szCs w:val="22"/>
        </w:rPr>
        <w:t>The Trade Agreement between the EU</w:t>
      </w:r>
      <w:r w:rsidR="00F45579">
        <w:rPr>
          <w:szCs w:val="22"/>
        </w:rPr>
        <w:t xml:space="preserve"> and</w:t>
      </w:r>
      <w:r w:rsidRPr="001D4F0B">
        <w:rPr>
          <w:szCs w:val="22"/>
        </w:rPr>
        <w:t xml:space="preserve"> Colombia and Peru establishes the conditions for EU economic operators to take full advantage of the opportunities and the emerging complementarities between the respective economies. Over the course of its implementation, the Agreement will fully relieve EU exporters of industrial and fisheries products to </w:t>
      </w:r>
      <w:smartTag w:uri="urn:schemas-microsoft-com:office:smarttags" w:element="country-region">
        <w:r w:rsidRPr="001D4F0B">
          <w:rPr>
            <w:szCs w:val="22"/>
          </w:rPr>
          <w:t>Peru</w:t>
        </w:r>
      </w:smartTag>
      <w:r w:rsidRPr="001D4F0B">
        <w:rPr>
          <w:szCs w:val="22"/>
        </w:rPr>
        <w:t xml:space="preserve"> and </w:t>
      </w:r>
      <w:smartTag w:uri="urn:schemas-microsoft-com:office:smarttags" w:element="place">
        <w:smartTag w:uri="urn:schemas-microsoft-com:office:smarttags" w:element="country-region">
          <w:r w:rsidRPr="001D4F0B">
            <w:rPr>
              <w:szCs w:val="22"/>
            </w:rPr>
            <w:t>Colombia</w:t>
          </w:r>
        </w:smartTag>
      </w:smartTag>
      <w:r w:rsidRPr="001D4F0B">
        <w:rPr>
          <w:szCs w:val="22"/>
        </w:rPr>
        <w:t xml:space="preserve"> from paying customs duties. </w:t>
      </w:r>
    </w:p>
    <w:p w:rsidR="0085425E" w:rsidRDefault="0085425E" w:rsidP="003E5077">
      <w:pPr>
        <w:rPr>
          <w:szCs w:val="22"/>
        </w:rPr>
      </w:pPr>
      <w:r>
        <w:rPr>
          <w:szCs w:val="22"/>
        </w:rPr>
        <w:t>Within</w:t>
      </w:r>
      <w:r w:rsidR="003E5077" w:rsidRPr="001D4F0B">
        <w:rPr>
          <w:szCs w:val="22"/>
        </w:rPr>
        <w:t xml:space="preserve"> 10 years </w:t>
      </w:r>
      <w:r>
        <w:rPr>
          <w:szCs w:val="22"/>
        </w:rPr>
        <w:t>from the</w:t>
      </w:r>
      <w:r w:rsidR="003E5077" w:rsidRPr="001D4F0B">
        <w:rPr>
          <w:szCs w:val="22"/>
        </w:rPr>
        <w:t xml:space="preserve"> entry into force</w:t>
      </w:r>
      <w:r>
        <w:rPr>
          <w:szCs w:val="22"/>
        </w:rPr>
        <w:t xml:space="preserve"> of the Agreement</w:t>
      </w:r>
      <w:r w:rsidR="003E5077" w:rsidRPr="001D4F0B">
        <w:rPr>
          <w:szCs w:val="22"/>
        </w:rPr>
        <w:t>, EU exporters of these products will be saving at least €250 million annually in tariffs</w:t>
      </w:r>
      <w:r>
        <w:rPr>
          <w:szCs w:val="22"/>
        </w:rPr>
        <w:t xml:space="preserve"> on exports</w:t>
      </w:r>
      <w:r w:rsidR="003E5077" w:rsidRPr="001D4F0B">
        <w:rPr>
          <w:szCs w:val="22"/>
        </w:rPr>
        <w:t xml:space="preserve"> to these two countries. After a gradual liberalisation over a slightly longer period (up to 17 years) an additional €22 million will be saved annually on exports of agricultural and processed agricultural products, bringing the total benefit for the EU export sector at the end of the transition period to more than </w:t>
      </w:r>
      <w:r>
        <w:rPr>
          <w:szCs w:val="22"/>
        </w:rPr>
        <w:t>€</w:t>
      </w:r>
      <w:r w:rsidR="003E5077" w:rsidRPr="001D4F0B">
        <w:rPr>
          <w:szCs w:val="22"/>
        </w:rPr>
        <w:t xml:space="preserve">270 million a year. This </w:t>
      </w:r>
      <w:r>
        <w:rPr>
          <w:szCs w:val="22"/>
        </w:rPr>
        <w:t>should translate in</w:t>
      </w:r>
      <w:r w:rsidR="003E5077" w:rsidRPr="001D4F0B">
        <w:rPr>
          <w:szCs w:val="22"/>
        </w:rPr>
        <w:t xml:space="preserve"> concrete gains for specific sectors that are already exporting to the region as well as new opportunities for those who are still out of t</w:t>
      </w:r>
      <w:r>
        <w:rPr>
          <w:szCs w:val="22"/>
        </w:rPr>
        <w:t>hose markets.</w:t>
      </w:r>
    </w:p>
    <w:p w:rsidR="003E5077" w:rsidRPr="001D4F0B" w:rsidRDefault="003E5077" w:rsidP="003E5077">
      <w:pPr>
        <w:rPr>
          <w:szCs w:val="22"/>
        </w:rPr>
      </w:pPr>
      <w:r w:rsidRPr="001D4F0B">
        <w:rPr>
          <w:szCs w:val="22"/>
        </w:rPr>
        <w:t xml:space="preserve">For instance, exports in the automotive and car parts sector will be relieved of over €33 million in tariffs. EU chemicals producers that export to </w:t>
      </w:r>
      <w:smartTag w:uri="urn:schemas-microsoft-com:office:smarttags" w:element="country-region">
        <w:r w:rsidRPr="001D4F0B">
          <w:rPr>
            <w:szCs w:val="22"/>
          </w:rPr>
          <w:t>Peru</w:t>
        </w:r>
      </w:smartTag>
      <w:r w:rsidRPr="001D4F0B">
        <w:rPr>
          <w:szCs w:val="22"/>
        </w:rPr>
        <w:t xml:space="preserve"> and </w:t>
      </w:r>
      <w:smartTag w:uri="urn:schemas-microsoft-com:office:smarttags" w:element="place">
        <w:smartTag w:uri="urn:schemas-microsoft-com:office:smarttags" w:element="country-region">
          <w:r w:rsidRPr="001D4F0B">
            <w:rPr>
              <w:szCs w:val="22"/>
            </w:rPr>
            <w:t>Colombia</w:t>
          </w:r>
        </w:smartTag>
      </w:smartTag>
      <w:r w:rsidRPr="001D4F0B">
        <w:rPr>
          <w:szCs w:val="22"/>
        </w:rPr>
        <w:t xml:space="preserve"> will save more than €16 million on duties each year. The textiles industry will see significant savings of over €60 million annually. The telecoms equipment industry will save €18 million annually</w:t>
      </w:r>
      <w:r>
        <w:rPr>
          <w:szCs w:val="22"/>
        </w:rPr>
        <w:t xml:space="preserve"> and create a</w:t>
      </w:r>
      <w:r w:rsidRPr="001D4F0B">
        <w:rPr>
          <w:szCs w:val="22"/>
        </w:rPr>
        <w:t xml:space="preserve"> basis to support the development of an EU telecommunications services industry in the region. Finally, pharmaceuticals products will be relieved of the current €16 million in duties that are paid annually.</w:t>
      </w:r>
    </w:p>
    <w:p w:rsidR="003E5077" w:rsidRDefault="003E5077" w:rsidP="00967DD6">
      <w:pPr>
        <w:pStyle w:val="Body"/>
        <w:spacing w:line="240" w:lineRule="auto"/>
        <w:rPr>
          <w:i/>
        </w:rPr>
      </w:pPr>
    </w:p>
    <w:p w:rsidR="001D3C53" w:rsidRDefault="001D3C53" w:rsidP="00967DD6">
      <w:pPr>
        <w:pStyle w:val="Body"/>
        <w:spacing w:line="240" w:lineRule="auto"/>
        <w:rPr>
          <w:i/>
        </w:rPr>
      </w:pPr>
      <w:r>
        <w:rPr>
          <w:i/>
        </w:rPr>
        <w:t>Malta’s position</w:t>
      </w:r>
    </w:p>
    <w:p w:rsidR="003E5077" w:rsidRDefault="003E5077" w:rsidP="003E5077">
      <w:pPr>
        <w:rPr>
          <w:szCs w:val="22"/>
        </w:rPr>
      </w:pPr>
      <w:r w:rsidRPr="001F7F76">
        <w:rPr>
          <w:szCs w:val="22"/>
        </w:rPr>
        <w:t xml:space="preserve">Malta </w:t>
      </w:r>
      <w:r w:rsidR="0085425E">
        <w:rPr>
          <w:szCs w:val="22"/>
        </w:rPr>
        <w:t>welcomed</w:t>
      </w:r>
      <w:r>
        <w:rPr>
          <w:szCs w:val="22"/>
        </w:rPr>
        <w:t xml:space="preserve"> the outcome obtained in </w:t>
      </w:r>
      <w:r w:rsidRPr="001F7F76">
        <w:rPr>
          <w:szCs w:val="22"/>
        </w:rPr>
        <w:t xml:space="preserve">the </w:t>
      </w:r>
      <w:r>
        <w:rPr>
          <w:szCs w:val="22"/>
        </w:rPr>
        <w:t xml:space="preserve">EU </w:t>
      </w:r>
      <w:r w:rsidRPr="001F7F76">
        <w:rPr>
          <w:szCs w:val="22"/>
        </w:rPr>
        <w:t xml:space="preserve">negotiations </w:t>
      </w:r>
      <w:r>
        <w:rPr>
          <w:szCs w:val="22"/>
        </w:rPr>
        <w:t>of</w:t>
      </w:r>
      <w:r w:rsidRPr="001F7F76">
        <w:rPr>
          <w:szCs w:val="22"/>
        </w:rPr>
        <w:t xml:space="preserve"> </w:t>
      </w:r>
      <w:r w:rsidR="0085425E">
        <w:rPr>
          <w:szCs w:val="22"/>
        </w:rPr>
        <w:t xml:space="preserve">the </w:t>
      </w:r>
      <w:r w:rsidRPr="001F7F76">
        <w:rPr>
          <w:szCs w:val="22"/>
        </w:rPr>
        <w:t xml:space="preserve">Free Trade Agreement </w:t>
      </w:r>
      <w:r>
        <w:rPr>
          <w:szCs w:val="22"/>
        </w:rPr>
        <w:t xml:space="preserve">with </w:t>
      </w:r>
      <w:r w:rsidR="0085425E">
        <w:rPr>
          <w:szCs w:val="22"/>
        </w:rPr>
        <w:t>the two countries</w:t>
      </w:r>
      <w:r>
        <w:rPr>
          <w:szCs w:val="22"/>
        </w:rPr>
        <w:t xml:space="preserve"> and ha</w:t>
      </w:r>
      <w:r w:rsidR="0085425E">
        <w:rPr>
          <w:szCs w:val="22"/>
        </w:rPr>
        <w:t>s</w:t>
      </w:r>
      <w:r>
        <w:rPr>
          <w:szCs w:val="22"/>
        </w:rPr>
        <w:t xml:space="preserve"> </w:t>
      </w:r>
      <w:r w:rsidRPr="001F7F76">
        <w:rPr>
          <w:szCs w:val="22"/>
        </w:rPr>
        <w:t>support</w:t>
      </w:r>
      <w:r>
        <w:rPr>
          <w:szCs w:val="22"/>
        </w:rPr>
        <w:t>ed</w:t>
      </w:r>
      <w:r w:rsidRPr="001F7F76">
        <w:rPr>
          <w:szCs w:val="22"/>
        </w:rPr>
        <w:t xml:space="preserve"> the conclusion of the Trade Agreement with Colombia and Peru</w:t>
      </w:r>
      <w:r>
        <w:rPr>
          <w:szCs w:val="22"/>
        </w:rPr>
        <w:t>.</w:t>
      </w:r>
    </w:p>
    <w:p w:rsidR="003E5077" w:rsidRPr="00626F74" w:rsidRDefault="0085425E" w:rsidP="003E5077">
      <w:pPr>
        <w:rPr>
          <w:szCs w:val="22"/>
        </w:rPr>
      </w:pPr>
      <w:r>
        <w:rPr>
          <w:szCs w:val="22"/>
        </w:rPr>
        <w:t>T</w:t>
      </w:r>
      <w:r w:rsidR="003E5077" w:rsidRPr="001F7F76">
        <w:rPr>
          <w:szCs w:val="22"/>
        </w:rPr>
        <w:t xml:space="preserve">he cumulative value of trade between Malta and Peru and Malta and Colombia over the period </w:t>
      </w:r>
      <w:r w:rsidR="00B566A4" w:rsidRPr="00B566A4">
        <w:rPr>
          <w:szCs w:val="22"/>
        </w:rPr>
        <w:t>2004–2012</w:t>
      </w:r>
      <w:r w:rsidR="003E5077" w:rsidRPr="00B566A4">
        <w:rPr>
          <w:szCs w:val="22"/>
        </w:rPr>
        <w:t xml:space="preserve"> was not significant</w:t>
      </w:r>
      <w:r w:rsidRPr="00B566A4">
        <w:rPr>
          <w:szCs w:val="22"/>
        </w:rPr>
        <w:t>.</w:t>
      </w:r>
      <w:r>
        <w:rPr>
          <w:szCs w:val="22"/>
        </w:rPr>
        <w:t xml:space="preserve"> However, </w:t>
      </w:r>
      <w:r w:rsidR="003E5077" w:rsidRPr="001F7F76">
        <w:rPr>
          <w:szCs w:val="22"/>
        </w:rPr>
        <w:t xml:space="preserve">the Agreement </w:t>
      </w:r>
      <w:r>
        <w:rPr>
          <w:szCs w:val="22"/>
        </w:rPr>
        <w:t>sh</w:t>
      </w:r>
      <w:r w:rsidR="003E5077">
        <w:rPr>
          <w:szCs w:val="22"/>
        </w:rPr>
        <w:t>ould</w:t>
      </w:r>
      <w:r w:rsidR="003E5077" w:rsidRPr="001F7F76">
        <w:rPr>
          <w:szCs w:val="22"/>
        </w:rPr>
        <w:t xml:space="preserve"> improve market access</w:t>
      </w:r>
      <w:r>
        <w:rPr>
          <w:szCs w:val="22"/>
        </w:rPr>
        <w:t xml:space="preserve"> conditions</w:t>
      </w:r>
      <w:r w:rsidR="003E5077" w:rsidRPr="001F7F76">
        <w:rPr>
          <w:szCs w:val="22"/>
        </w:rPr>
        <w:t xml:space="preserve"> for Maltese exports to the two </w:t>
      </w:r>
      <w:r w:rsidR="003E5077">
        <w:rPr>
          <w:szCs w:val="22"/>
        </w:rPr>
        <w:t>region</w:t>
      </w:r>
      <w:r w:rsidR="003E5077" w:rsidRPr="001F7F76">
        <w:rPr>
          <w:szCs w:val="22"/>
        </w:rPr>
        <w:t>s</w:t>
      </w:r>
      <w:r>
        <w:rPr>
          <w:szCs w:val="22"/>
        </w:rPr>
        <w:t xml:space="preserve"> and secure cheaper access to imports from the two countries</w:t>
      </w:r>
      <w:r w:rsidR="003E5077" w:rsidRPr="001F7F76">
        <w:rPr>
          <w:szCs w:val="22"/>
        </w:rPr>
        <w:t>.</w:t>
      </w:r>
      <w:r w:rsidR="003E5077">
        <w:rPr>
          <w:szCs w:val="22"/>
        </w:rPr>
        <w:t xml:space="preserve"> With respect to the liberalisation on trade in services, Malta’s commitments with Peru and Colombia reflect a level of liberalisation that is below the current legal and regulatory level in Malta. Additionally, the lack of commitments in C</w:t>
      </w:r>
      <w:r>
        <w:rPr>
          <w:szCs w:val="22"/>
        </w:rPr>
        <w:t xml:space="preserve">ontractual </w:t>
      </w:r>
      <w:r w:rsidR="003E5077">
        <w:rPr>
          <w:szCs w:val="22"/>
        </w:rPr>
        <w:t>S</w:t>
      </w:r>
      <w:r>
        <w:rPr>
          <w:szCs w:val="22"/>
        </w:rPr>
        <w:t xml:space="preserve">ervices </w:t>
      </w:r>
      <w:r w:rsidR="003E5077">
        <w:rPr>
          <w:szCs w:val="22"/>
        </w:rPr>
        <w:t>S</w:t>
      </w:r>
      <w:r>
        <w:rPr>
          <w:szCs w:val="22"/>
        </w:rPr>
        <w:t>uppliers</w:t>
      </w:r>
      <w:r w:rsidR="003E5077">
        <w:rPr>
          <w:szCs w:val="22"/>
        </w:rPr>
        <w:t xml:space="preserve"> and I</w:t>
      </w:r>
      <w:r>
        <w:rPr>
          <w:szCs w:val="22"/>
        </w:rPr>
        <w:t xml:space="preserve">ndependent </w:t>
      </w:r>
      <w:r w:rsidR="003E5077">
        <w:rPr>
          <w:szCs w:val="22"/>
        </w:rPr>
        <w:t>P</w:t>
      </w:r>
      <w:r>
        <w:rPr>
          <w:szCs w:val="22"/>
        </w:rPr>
        <w:t>rofessionals</w:t>
      </w:r>
      <w:r w:rsidR="003E5077">
        <w:rPr>
          <w:szCs w:val="22"/>
        </w:rPr>
        <w:t xml:space="preserve"> reduce the level of exposure in services liberalisation.</w:t>
      </w:r>
    </w:p>
    <w:p w:rsidR="003E5077" w:rsidRDefault="003E5077" w:rsidP="00967DD6">
      <w:pPr>
        <w:pStyle w:val="Body"/>
        <w:spacing w:line="240" w:lineRule="auto"/>
        <w:rPr>
          <w:i/>
        </w:rPr>
      </w:pPr>
    </w:p>
    <w:p w:rsidR="00FE3C70" w:rsidRDefault="00FE3C70" w:rsidP="00FE3C70">
      <w:pPr>
        <w:rPr>
          <w:b/>
        </w:rPr>
      </w:pPr>
      <w:r w:rsidRPr="00BB79D0">
        <w:rPr>
          <w:b/>
        </w:rPr>
        <w:t>Proposal</w:t>
      </w:r>
    </w:p>
    <w:p w:rsidR="003E5077" w:rsidRPr="007A2D98" w:rsidRDefault="007A2D98" w:rsidP="00FE3C70">
      <w:r>
        <w:t>In the COREPER of February 2013, Member States were invited to launch their national ratification procedures with a view to embrace the trade agreement between the European Union and Colombia and Peru. In the light of the above information, Malta needs to ratify the trade agreement between the European Union and Colombia and Peru.</w:t>
      </w:r>
    </w:p>
    <w:p w:rsidR="00FE3C70" w:rsidRPr="00714DBE" w:rsidRDefault="00FE3C70" w:rsidP="00FE3C70">
      <w:pPr>
        <w:rPr>
          <w:b/>
        </w:rPr>
      </w:pPr>
      <w:r w:rsidRPr="00714DBE">
        <w:rPr>
          <w:b/>
        </w:rPr>
        <w:t>Recommendation</w:t>
      </w:r>
    </w:p>
    <w:p w:rsidR="00996A78" w:rsidRDefault="00FE3C70" w:rsidP="00FE3C70">
      <w:r>
        <w:t>Cabinet may wish to consider and approve the indicated course of action.</w:t>
      </w:r>
    </w:p>
    <w:p w:rsidR="00917332" w:rsidRDefault="00917332" w:rsidP="00FE3C70"/>
    <w:sectPr w:rsidR="00917332" w:rsidSect="00BF5B5F">
      <w:headerReference w:type="default" r:id="rId9"/>
      <w:footerReference w:type="default" r:id="rId10"/>
      <w:endnotePr>
        <w:numFmt w:val="decimal"/>
      </w:endnotePr>
      <w:pgSz w:w="11907" w:h="16840" w:code="9"/>
      <w:pgMar w:top="1644" w:right="1701" w:bottom="1985"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BD3" w:rsidRDefault="00BE1BD3">
      <w:r>
        <w:separator/>
      </w:r>
    </w:p>
  </w:endnote>
  <w:endnote w:type="continuationSeparator" w:id="0">
    <w:p w:rsidR="00BE1BD3" w:rsidRDefault="00BE1B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B0" w:rsidRPr="00C76ACD" w:rsidRDefault="00D06DB0" w:rsidP="00996A78">
    <w:pPr>
      <w:pStyle w:val="Footer"/>
      <w:pBdr>
        <w:top w:val="single" w:sz="4" w:space="1" w:color="auto"/>
      </w:pBdr>
      <w:tabs>
        <w:tab w:val="clear" w:pos="4153"/>
        <w:tab w:val="clear" w:pos="8306"/>
        <w:tab w:val="center" w:pos="4253"/>
        <w:tab w:val="right" w:pos="8505"/>
      </w:tabs>
      <w:rPr>
        <w:b/>
      </w:rPr>
    </w:pPr>
    <w:r w:rsidRPr="00C76ACD">
      <w:rPr>
        <w:b/>
      </w:rPr>
      <w:t>Confidential</w:t>
    </w:r>
    <w:r w:rsidRPr="00C76ACD">
      <w:rPr>
        <w:b/>
      </w:rPr>
      <w:tab/>
    </w:r>
    <w:r w:rsidR="00227843" w:rsidRPr="00C76ACD">
      <w:rPr>
        <w:b/>
      </w:rPr>
      <w:fldChar w:fldCharType="begin"/>
    </w:r>
    <w:r w:rsidRPr="00C76ACD">
      <w:rPr>
        <w:b/>
      </w:rPr>
      <w:instrText xml:space="preserve"> FILENAME </w:instrText>
    </w:r>
    <w:r w:rsidR="00227843" w:rsidRPr="00C76ACD">
      <w:rPr>
        <w:b/>
      </w:rPr>
      <w:fldChar w:fldCharType="separate"/>
    </w:r>
    <w:r w:rsidR="00930EC2">
      <w:rPr>
        <w:b/>
        <w:noProof/>
      </w:rPr>
      <w:t>Cabinet Memo_Columbia-Peru 260813</w:t>
    </w:r>
    <w:r w:rsidR="00227843" w:rsidRPr="00C76ACD">
      <w:rPr>
        <w:b/>
      </w:rPr>
      <w:fldChar w:fldCharType="end"/>
    </w:r>
    <w:r w:rsidRPr="00C76ACD">
      <w:rPr>
        <w:b/>
      </w:rPr>
      <w:tab/>
    </w:r>
    <w:r w:rsidR="00227843" w:rsidRPr="00C76ACD">
      <w:rPr>
        <w:b/>
      </w:rPr>
      <w:fldChar w:fldCharType="begin"/>
    </w:r>
    <w:r w:rsidRPr="00C76ACD">
      <w:rPr>
        <w:b/>
      </w:rPr>
      <w:instrText xml:space="preserve"> DATE \@ "dd/MM/yyyy" </w:instrText>
    </w:r>
    <w:r w:rsidR="00227843" w:rsidRPr="00C76ACD">
      <w:rPr>
        <w:b/>
      </w:rPr>
      <w:fldChar w:fldCharType="separate"/>
    </w:r>
    <w:r w:rsidR="00F013F7">
      <w:rPr>
        <w:b/>
        <w:noProof/>
      </w:rPr>
      <w:t>22/04/2014</w:t>
    </w:r>
    <w:r w:rsidR="00227843" w:rsidRPr="00C76ACD">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BD3" w:rsidRDefault="00BE1BD3">
      <w:r>
        <w:separator/>
      </w:r>
    </w:p>
  </w:footnote>
  <w:footnote w:type="continuationSeparator" w:id="0">
    <w:p w:rsidR="00BE1BD3" w:rsidRDefault="00BE1BD3">
      <w:r>
        <w:continuationSeparator/>
      </w:r>
    </w:p>
  </w:footnote>
  <w:footnote w:id="1">
    <w:p w:rsidR="00F45579" w:rsidRPr="00F45579" w:rsidRDefault="00F45579" w:rsidP="00F45579">
      <w:pPr>
        <w:widowControl/>
        <w:overflowPunct/>
        <w:spacing w:before="0"/>
        <w:jc w:val="left"/>
        <w:textAlignment w:val="auto"/>
        <w:rPr>
          <w:rFonts w:ascii="EUAlbertina-Bold" w:hAnsi="EUAlbertina-Bold" w:cs="EUAlbertina-Bold"/>
          <w:b/>
          <w:bCs/>
          <w:sz w:val="19"/>
          <w:szCs w:val="19"/>
          <w:lang w:eastAsia="en-GB"/>
        </w:rPr>
      </w:pPr>
      <w:r>
        <w:rPr>
          <w:rStyle w:val="FootnoteReference"/>
        </w:rPr>
        <w:footnoteRef/>
      </w:r>
      <w:r>
        <w:t xml:space="preserve"> These issues </w:t>
      </w:r>
      <w:r w:rsidR="00DB58D4">
        <w:t xml:space="preserve">were </w:t>
      </w:r>
      <w:r>
        <w:t>rela</w:t>
      </w:r>
      <w:r w:rsidRPr="00F45579">
        <w:rPr>
          <w:szCs w:val="22"/>
        </w:rPr>
        <w:t>ted to d</w:t>
      </w:r>
      <w:r w:rsidRPr="00F45579">
        <w:rPr>
          <w:bCs/>
          <w:szCs w:val="22"/>
          <w:lang w:eastAsia="en-GB"/>
        </w:rPr>
        <w:t>isarmament and non-proliferation of weapons of mass destruction</w:t>
      </w:r>
      <w:r>
        <w:rPr>
          <w:bCs/>
          <w:szCs w:val="22"/>
          <w:lang w:eastAsia="en-GB"/>
        </w:rPr>
        <w:t>,</w:t>
      </w:r>
      <w:r w:rsidRPr="00F45579">
        <w:rPr>
          <w:bCs/>
          <w:szCs w:val="22"/>
          <w:lang w:eastAsia="en-GB"/>
        </w:rPr>
        <w:t xml:space="preserve"> intellectual property rights, administrative proceedings and review and appeal.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B0" w:rsidRDefault="00D06DB0">
    <w:pPr>
      <w:pStyle w:val="Headerpage2line1"/>
      <w:widowControl/>
    </w:pPr>
    <w:r>
      <w:t>memorandum</w:t>
    </w:r>
  </w:p>
  <w:p w:rsidR="00D06DB0" w:rsidRDefault="00D06DB0" w:rsidP="004C662E">
    <w:pPr>
      <w:pStyle w:val="Headerpage2lines23"/>
      <w:widowControl/>
      <w:rPr>
        <w:b/>
      </w:rPr>
    </w:pPr>
    <w:r>
      <w:t>Subject</w:t>
    </w:r>
    <w:r w:rsidR="00037118">
      <w:t>:</w:t>
    </w:r>
    <w:r>
      <w:t xml:space="preserve"> </w:t>
    </w:r>
    <w:r w:rsidR="001D3C53">
      <w:t>Ratification of the International Tropical Timber Agreement</w:t>
    </w:r>
  </w:p>
  <w:p w:rsidR="00D06DB0" w:rsidRDefault="00D06DB0" w:rsidP="004C662E">
    <w:pPr>
      <w:pStyle w:val="Headerpage2lines23"/>
      <w:widowControl/>
      <w:rPr>
        <w:b/>
      </w:rPr>
    </w:pPr>
    <w:r w:rsidRPr="00C76ACD">
      <w:rPr>
        <w:b/>
      </w:rPr>
      <w:t xml:space="preserve">Page </w:t>
    </w:r>
    <w:r w:rsidR="00227843">
      <w:rPr>
        <w:rStyle w:val="PageNumber"/>
        <w:rFonts w:ascii="Times New Roman" w:hAnsi="Times New Roman"/>
        <w:color w:val="auto"/>
      </w:rPr>
      <w:fldChar w:fldCharType="begin"/>
    </w:r>
    <w:r>
      <w:rPr>
        <w:rStyle w:val="PageNumber"/>
        <w:rFonts w:ascii="Times New Roman" w:hAnsi="Times New Roman"/>
        <w:color w:val="auto"/>
      </w:rPr>
      <w:instrText xml:space="preserve"> PAGE </w:instrText>
    </w:r>
    <w:r w:rsidR="00227843">
      <w:rPr>
        <w:rStyle w:val="PageNumber"/>
        <w:rFonts w:ascii="Times New Roman" w:hAnsi="Times New Roman"/>
        <w:color w:val="auto"/>
      </w:rPr>
      <w:fldChar w:fldCharType="separate"/>
    </w:r>
    <w:r w:rsidR="00F013F7">
      <w:rPr>
        <w:rStyle w:val="PageNumber"/>
        <w:rFonts w:ascii="Times New Roman" w:hAnsi="Times New Roman"/>
        <w:noProof/>
        <w:color w:val="auto"/>
      </w:rPr>
      <w:t>3</w:t>
    </w:r>
    <w:r w:rsidR="00227843">
      <w:rPr>
        <w:rStyle w:val="PageNumber"/>
        <w:rFonts w:ascii="Times New Roman" w:hAnsi="Times New Roman"/>
        <w:color w:val="auto"/>
      </w:rPr>
      <w:fldChar w:fldCharType="end"/>
    </w:r>
    <w:r>
      <w:rPr>
        <w:rStyle w:val="PageNumber"/>
        <w:rFonts w:ascii="Times New Roman" w:hAnsi="Times New Roman"/>
        <w:color w:val="auto"/>
      </w:rPr>
      <w:t xml:space="preserve"> of </w:t>
    </w:r>
    <w:r w:rsidR="00227843">
      <w:rPr>
        <w:rStyle w:val="PageNumber"/>
        <w:rFonts w:ascii="Times New Roman" w:hAnsi="Times New Roman"/>
        <w:color w:val="auto"/>
      </w:rPr>
      <w:fldChar w:fldCharType="begin"/>
    </w:r>
    <w:r>
      <w:rPr>
        <w:rStyle w:val="PageNumber"/>
        <w:rFonts w:ascii="Times New Roman" w:hAnsi="Times New Roman"/>
        <w:color w:val="auto"/>
      </w:rPr>
      <w:instrText xml:space="preserve"> NUMPAGES </w:instrText>
    </w:r>
    <w:r w:rsidR="00227843">
      <w:rPr>
        <w:rStyle w:val="PageNumber"/>
        <w:rFonts w:ascii="Times New Roman" w:hAnsi="Times New Roman"/>
        <w:color w:val="auto"/>
      </w:rPr>
      <w:fldChar w:fldCharType="separate"/>
    </w:r>
    <w:r w:rsidR="00F013F7">
      <w:rPr>
        <w:rStyle w:val="PageNumber"/>
        <w:rFonts w:ascii="Times New Roman" w:hAnsi="Times New Roman"/>
        <w:noProof/>
        <w:color w:val="auto"/>
      </w:rPr>
      <w:t>3</w:t>
    </w:r>
    <w:r w:rsidR="00227843">
      <w:rPr>
        <w:rStyle w:val="PageNumber"/>
        <w:rFonts w:ascii="Times New Roman" w:hAnsi="Times New Roman"/>
        <w:color w:val="auto"/>
      </w:rPr>
      <w:fldChar w:fldCharType="end"/>
    </w:r>
  </w:p>
  <w:p w:rsidR="00D06DB0" w:rsidRPr="00C76ACD" w:rsidRDefault="00D06DB0" w:rsidP="004C662E">
    <w:pPr>
      <w:pStyle w:val="Headerpage2lines23"/>
      <w:widowControl/>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47FA0"/>
    <w:multiLevelType w:val="hybridMultilevel"/>
    <w:tmpl w:val="C4A8FA18"/>
    <w:lvl w:ilvl="0" w:tplc="080C0001">
      <w:start w:val="1"/>
      <w:numFmt w:val="bullet"/>
      <w:lvlText w:val=""/>
      <w:lvlJc w:val="left"/>
      <w:pPr>
        <w:tabs>
          <w:tab w:val="num" w:pos="720"/>
        </w:tabs>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nsid w:val="2ACA3920"/>
    <w:multiLevelType w:val="hybridMultilevel"/>
    <w:tmpl w:val="8078D902"/>
    <w:lvl w:ilvl="0" w:tplc="080C0001">
      <w:start w:val="1"/>
      <w:numFmt w:val="bullet"/>
      <w:lvlText w:val=""/>
      <w:lvlJc w:val="left"/>
      <w:pPr>
        <w:tabs>
          <w:tab w:val="num" w:pos="720"/>
        </w:tabs>
        <w:ind w:left="720" w:hanging="360"/>
      </w:pPr>
      <w:rPr>
        <w:rFonts w:ascii="Symbol" w:hAnsi="Symbol" w:hint="default"/>
      </w:rPr>
    </w:lvl>
    <w:lvl w:ilvl="1" w:tplc="080C000F">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
    <w:nsid w:val="72A200B5"/>
    <w:multiLevelType w:val="hybridMultilevel"/>
    <w:tmpl w:val="AD483F78"/>
    <w:lvl w:ilvl="0" w:tplc="645813D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isplayBackgroundShape/>
  <w:attachedTemplate r:id="rId1"/>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rsids>
    <w:rsidRoot w:val="00967DD6"/>
    <w:rsid w:val="00024ED1"/>
    <w:rsid w:val="00030B27"/>
    <w:rsid w:val="000362CF"/>
    <w:rsid w:val="00037118"/>
    <w:rsid w:val="000730DA"/>
    <w:rsid w:val="00081354"/>
    <w:rsid w:val="000B186E"/>
    <w:rsid w:val="000C5B7D"/>
    <w:rsid w:val="00185FA7"/>
    <w:rsid w:val="001B1506"/>
    <w:rsid w:val="001B4330"/>
    <w:rsid w:val="001D3C53"/>
    <w:rsid w:val="001D536D"/>
    <w:rsid w:val="00201464"/>
    <w:rsid w:val="00222ED8"/>
    <w:rsid w:val="00223E72"/>
    <w:rsid w:val="00227843"/>
    <w:rsid w:val="00267F1F"/>
    <w:rsid w:val="00283699"/>
    <w:rsid w:val="002A5FA3"/>
    <w:rsid w:val="002C067D"/>
    <w:rsid w:val="00321DBD"/>
    <w:rsid w:val="00344B41"/>
    <w:rsid w:val="00375ACF"/>
    <w:rsid w:val="003E5077"/>
    <w:rsid w:val="003F64AA"/>
    <w:rsid w:val="00403A00"/>
    <w:rsid w:val="00415EBE"/>
    <w:rsid w:val="00461CBD"/>
    <w:rsid w:val="00472377"/>
    <w:rsid w:val="00496A6A"/>
    <w:rsid w:val="004B2AAF"/>
    <w:rsid w:val="004C662E"/>
    <w:rsid w:val="005135FF"/>
    <w:rsid w:val="00531A68"/>
    <w:rsid w:val="00532ACF"/>
    <w:rsid w:val="00560D43"/>
    <w:rsid w:val="0057710E"/>
    <w:rsid w:val="00586213"/>
    <w:rsid w:val="005F5B0F"/>
    <w:rsid w:val="00607060"/>
    <w:rsid w:val="006656D3"/>
    <w:rsid w:val="00680CDA"/>
    <w:rsid w:val="006B4BFB"/>
    <w:rsid w:val="006E6807"/>
    <w:rsid w:val="007402AA"/>
    <w:rsid w:val="00770D2F"/>
    <w:rsid w:val="007756A4"/>
    <w:rsid w:val="007A1DC4"/>
    <w:rsid w:val="007A2D98"/>
    <w:rsid w:val="007A55F0"/>
    <w:rsid w:val="007E6B22"/>
    <w:rsid w:val="0085425E"/>
    <w:rsid w:val="008940EE"/>
    <w:rsid w:val="008A2909"/>
    <w:rsid w:val="008C6A9A"/>
    <w:rsid w:val="00917332"/>
    <w:rsid w:val="00930EC2"/>
    <w:rsid w:val="00967DD6"/>
    <w:rsid w:val="00985CD3"/>
    <w:rsid w:val="00996A78"/>
    <w:rsid w:val="00A27849"/>
    <w:rsid w:val="00A72230"/>
    <w:rsid w:val="00A9704B"/>
    <w:rsid w:val="00AA35AC"/>
    <w:rsid w:val="00AB1692"/>
    <w:rsid w:val="00B05014"/>
    <w:rsid w:val="00B229D5"/>
    <w:rsid w:val="00B46C87"/>
    <w:rsid w:val="00B566A4"/>
    <w:rsid w:val="00B64DA4"/>
    <w:rsid w:val="00B67736"/>
    <w:rsid w:val="00B747B1"/>
    <w:rsid w:val="00BE1BD3"/>
    <w:rsid w:val="00BF5B5F"/>
    <w:rsid w:val="00C76ACD"/>
    <w:rsid w:val="00C877B3"/>
    <w:rsid w:val="00D06DB0"/>
    <w:rsid w:val="00D61B0E"/>
    <w:rsid w:val="00DB33D7"/>
    <w:rsid w:val="00DB5163"/>
    <w:rsid w:val="00DB58D4"/>
    <w:rsid w:val="00E006F2"/>
    <w:rsid w:val="00EB70FE"/>
    <w:rsid w:val="00EF5953"/>
    <w:rsid w:val="00F013F7"/>
    <w:rsid w:val="00F030D7"/>
    <w:rsid w:val="00F252FC"/>
    <w:rsid w:val="00F45579"/>
    <w:rsid w:val="00F52B8B"/>
    <w:rsid w:val="00F64B73"/>
    <w:rsid w:val="00F73BB5"/>
    <w:rsid w:val="00FA2A91"/>
    <w:rsid w:val="00FB5634"/>
    <w:rsid w:val="00FD300E"/>
    <w:rsid w:val="00FE3C70"/>
    <w:rsid w:val="00FF5105"/>
    <w:rsid w:val="00FF6B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0DA"/>
    <w:pPr>
      <w:widowControl w:val="0"/>
      <w:overflowPunct w:val="0"/>
      <w:autoSpaceDE w:val="0"/>
      <w:autoSpaceDN w:val="0"/>
      <w:adjustRightInd w:val="0"/>
      <w:spacing w:before="200"/>
      <w:jc w:val="both"/>
      <w:textAlignment w:val="baseline"/>
    </w:pPr>
    <w:rPr>
      <w:sz w:val="22"/>
      <w:lang w:eastAsia="en-US"/>
    </w:rPr>
  </w:style>
  <w:style w:type="paragraph" w:styleId="Heading1">
    <w:name w:val="heading 1"/>
    <w:basedOn w:val="Normal"/>
    <w:next w:val="Normal"/>
    <w:qFormat/>
    <w:rsid w:val="000730DA"/>
    <w:pPr>
      <w:keepNext/>
      <w:spacing w:before="0" w:after="360" w:line="360" w:lineRule="exact"/>
      <w:ind w:left="567" w:hanging="567"/>
      <w:outlineLvl w:val="0"/>
    </w:pPr>
    <w:rPr>
      <w:b/>
      <w:kern w:val="28"/>
      <w:sz w:val="36"/>
    </w:rPr>
  </w:style>
  <w:style w:type="paragraph" w:styleId="Heading2">
    <w:name w:val="heading 2"/>
    <w:basedOn w:val="Normal"/>
    <w:next w:val="Normal"/>
    <w:qFormat/>
    <w:rsid w:val="000730DA"/>
    <w:pPr>
      <w:keepNext/>
      <w:spacing w:before="260" w:after="80" w:line="320" w:lineRule="exact"/>
      <w:ind w:left="567" w:hanging="567"/>
      <w:outlineLvl w:val="1"/>
    </w:pPr>
    <w:rPr>
      <w:sz w:val="32"/>
    </w:rPr>
  </w:style>
  <w:style w:type="paragraph" w:styleId="Heading3">
    <w:name w:val="heading 3"/>
    <w:basedOn w:val="Normal"/>
    <w:next w:val="Normal"/>
    <w:qFormat/>
    <w:rsid w:val="000730DA"/>
    <w:pPr>
      <w:keepNext/>
      <w:spacing w:before="260" w:after="140" w:line="260" w:lineRule="exact"/>
      <w:outlineLvl w:val="2"/>
    </w:pPr>
    <w:rPr>
      <w:b/>
      <w:sz w:val="24"/>
    </w:rPr>
  </w:style>
  <w:style w:type="paragraph" w:styleId="Heading4">
    <w:name w:val="heading 4"/>
    <w:basedOn w:val="Normal"/>
    <w:next w:val="Normal"/>
    <w:qFormat/>
    <w:rsid w:val="000730DA"/>
    <w:pPr>
      <w:keepNext/>
      <w:spacing w:before="260" w:after="140" w:line="260" w:lineRule="exact"/>
      <w:ind w:left="539" w:hanging="539"/>
      <w:outlineLvl w:val="3"/>
    </w:pPr>
    <w:rPr>
      <w:i/>
      <w:color w:val="000000"/>
    </w:rPr>
  </w:style>
  <w:style w:type="paragraph" w:styleId="Heading5">
    <w:name w:val="heading 5"/>
    <w:basedOn w:val="Normal"/>
    <w:next w:val="Normal"/>
    <w:qFormat/>
    <w:rsid w:val="000730DA"/>
    <w:pPr>
      <w:keepNext/>
      <w:spacing w:after="200"/>
      <w:jc w:val="left"/>
      <w:outlineLvl w:val="4"/>
    </w:pPr>
    <w:rPr>
      <w:rFonts w:ascii="Univers" w:hAnsi="Univers"/>
      <w:b/>
      <w:caps/>
      <w:sz w:val="24"/>
    </w:rPr>
  </w:style>
  <w:style w:type="paragraph" w:styleId="Heading6">
    <w:name w:val="heading 6"/>
    <w:basedOn w:val="Normal"/>
    <w:next w:val="Normal"/>
    <w:qFormat/>
    <w:rsid w:val="000730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jc w:val="left"/>
      <w:outlineLvl w:val="5"/>
    </w:pPr>
    <w:rPr>
      <w:rFonts w:ascii="Univers" w:hAnsi="Univers"/>
    </w:rPr>
  </w:style>
  <w:style w:type="paragraph" w:styleId="Heading7">
    <w:name w:val="heading 7"/>
    <w:basedOn w:val="Normal"/>
    <w:next w:val="Normal"/>
    <w:qFormat/>
    <w:rsid w:val="000730DA"/>
    <w:pPr>
      <w:keepNext/>
      <w:spacing w:after="200"/>
      <w:outlineLvl w:val="6"/>
    </w:pPr>
    <w:rPr>
      <w:b/>
      <w:sz w:val="24"/>
    </w:rPr>
  </w:style>
  <w:style w:type="paragraph" w:styleId="Heading8">
    <w:name w:val="heading 8"/>
    <w:basedOn w:val="Normal"/>
    <w:qFormat/>
    <w:rsid w:val="000730DA"/>
    <w:pPr>
      <w:keepNext/>
      <w:spacing w:before="0"/>
      <w:jc w:val="lef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ody Char,by Char,by,by Char Char,by Char1,Body Char Char1 Char,Body Char1 Char,by Char Char Char,by Char1 Char,Body Char Char Char1,by Char Char Char1 Char,by Char1 Char1 Char,Body Char Char1 Char Char Char,Body Char1 Char Char Char,by Char2 Char"/>
    <w:basedOn w:val="Normal"/>
    <w:rsid w:val="000730DA"/>
    <w:pPr>
      <w:spacing w:before="0" w:after="130" w:line="260" w:lineRule="exact"/>
    </w:pPr>
  </w:style>
  <w:style w:type="paragraph" w:customStyle="1" w:styleId="Bullet">
    <w:name w:val="Bullet"/>
    <w:basedOn w:val="Body"/>
    <w:rsid w:val="000730DA"/>
    <w:pPr>
      <w:tabs>
        <w:tab w:val="left" w:pos="-3402"/>
      </w:tabs>
      <w:ind w:left="425" w:hanging="425"/>
    </w:pPr>
  </w:style>
  <w:style w:type="paragraph" w:styleId="Header">
    <w:name w:val="header"/>
    <w:basedOn w:val="Normal"/>
    <w:rsid w:val="000730DA"/>
    <w:pPr>
      <w:tabs>
        <w:tab w:val="center" w:pos="4153"/>
        <w:tab w:val="right" w:pos="8306"/>
      </w:tabs>
    </w:pPr>
  </w:style>
  <w:style w:type="paragraph" w:styleId="Footer">
    <w:name w:val="footer"/>
    <w:basedOn w:val="Normal"/>
    <w:rsid w:val="000730DA"/>
    <w:pPr>
      <w:tabs>
        <w:tab w:val="center" w:pos="4153"/>
        <w:tab w:val="right" w:pos="8306"/>
      </w:tabs>
    </w:pPr>
  </w:style>
  <w:style w:type="paragraph" w:customStyle="1" w:styleId="Headerpage2lines23">
    <w:name w:val="Header page 2 lines 2/3"/>
    <w:basedOn w:val="Normal"/>
    <w:rsid w:val="000730DA"/>
    <w:pPr>
      <w:spacing w:before="0" w:line="260" w:lineRule="exact"/>
      <w:jc w:val="left"/>
    </w:pPr>
    <w:rPr>
      <w:rFonts w:ascii="Univers" w:hAnsi="Univers"/>
      <w:color w:val="000000"/>
      <w:sz w:val="18"/>
    </w:rPr>
  </w:style>
  <w:style w:type="character" w:styleId="PageNumber">
    <w:name w:val="page number"/>
    <w:basedOn w:val="DefaultParagraphFont"/>
    <w:rsid w:val="000730DA"/>
    <w:rPr>
      <w:sz w:val="20"/>
    </w:rPr>
  </w:style>
  <w:style w:type="paragraph" w:styleId="FootnoteText">
    <w:name w:val="footnote text"/>
    <w:basedOn w:val="Normal"/>
    <w:semiHidden/>
    <w:rsid w:val="000730DA"/>
    <w:rPr>
      <w:sz w:val="20"/>
    </w:rPr>
  </w:style>
  <w:style w:type="character" w:styleId="FootnoteReference">
    <w:name w:val="footnote reference"/>
    <w:basedOn w:val="DefaultParagraphFont"/>
    <w:semiHidden/>
    <w:rsid w:val="000730DA"/>
    <w:rPr>
      <w:sz w:val="18"/>
      <w:vertAlign w:val="superscript"/>
    </w:rPr>
  </w:style>
  <w:style w:type="paragraph" w:customStyle="1" w:styleId="Headerpage2line1">
    <w:name w:val="Header page 2 line 1"/>
    <w:basedOn w:val="Heading5"/>
    <w:rsid w:val="000730DA"/>
    <w:pPr>
      <w:spacing w:before="600" w:after="0" w:line="260" w:lineRule="exact"/>
      <w:outlineLvl w:val="9"/>
    </w:pPr>
  </w:style>
  <w:style w:type="paragraph" w:customStyle="1" w:styleId="Bullet2">
    <w:name w:val="Bullet 2"/>
    <w:basedOn w:val="Bullet"/>
    <w:rsid w:val="000730DA"/>
    <w:pPr>
      <w:spacing w:after="0"/>
      <w:ind w:firstLine="0"/>
    </w:pPr>
  </w:style>
  <w:style w:type="paragraph" w:customStyle="1" w:styleId="Enclosures">
    <w:name w:val="Enclosures"/>
    <w:basedOn w:val="Body"/>
    <w:rsid w:val="000730DA"/>
    <w:pPr>
      <w:tabs>
        <w:tab w:val="left" w:pos="1321"/>
      </w:tabs>
      <w:spacing w:before="260" w:after="260"/>
      <w:ind w:left="1321" w:hanging="1321"/>
      <w:jc w:val="left"/>
    </w:pPr>
  </w:style>
  <w:style w:type="paragraph" w:styleId="BalloonText">
    <w:name w:val="Balloon Text"/>
    <w:basedOn w:val="Normal"/>
    <w:semiHidden/>
    <w:rsid w:val="00B46C87"/>
    <w:rPr>
      <w:rFonts w:ascii="Tahoma" w:hAnsi="Tahoma" w:cs="Tahoma"/>
      <w:sz w:val="16"/>
      <w:szCs w:val="16"/>
    </w:rPr>
  </w:style>
  <w:style w:type="character" w:styleId="CommentReference">
    <w:name w:val="annotation reference"/>
    <w:basedOn w:val="DefaultParagraphFont"/>
    <w:rsid w:val="00F45579"/>
    <w:rPr>
      <w:sz w:val="16"/>
      <w:szCs w:val="16"/>
    </w:rPr>
  </w:style>
  <w:style w:type="paragraph" w:styleId="CommentText">
    <w:name w:val="annotation text"/>
    <w:basedOn w:val="Normal"/>
    <w:link w:val="CommentTextChar"/>
    <w:rsid w:val="00F45579"/>
    <w:rPr>
      <w:sz w:val="20"/>
    </w:rPr>
  </w:style>
  <w:style w:type="character" w:customStyle="1" w:styleId="CommentTextChar">
    <w:name w:val="Comment Text Char"/>
    <w:basedOn w:val="DefaultParagraphFont"/>
    <w:link w:val="CommentText"/>
    <w:rsid w:val="00F45579"/>
    <w:rPr>
      <w:lang w:eastAsia="en-US"/>
    </w:rPr>
  </w:style>
  <w:style w:type="paragraph" w:styleId="CommentSubject">
    <w:name w:val="annotation subject"/>
    <w:basedOn w:val="CommentText"/>
    <w:next w:val="CommentText"/>
    <w:link w:val="CommentSubjectChar"/>
    <w:rsid w:val="00F45579"/>
    <w:rPr>
      <w:b/>
      <w:bCs/>
    </w:rPr>
  </w:style>
  <w:style w:type="character" w:customStyle="1" w:styleId="CommentSubjectChar">
    <w:name w:val="Comment Subject Char"/>
    <w:basedOn w:val="CommentTextChar"/>
    <w:link w:val="CommentSubject"/>
    <w:rsid w:val="00F455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md001\Application%20Data\Microsoft\Templates\Cabinet%20Memo%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CD549-539B-4AE2-A061-46847835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Cabinet Memo  Template</Template>
  <TotalTime>1</TotalTime>
  <Pages>3</Pages>
  <Words>950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SENSITIVITYOFMEMO</vt:lpstr>
    </vt:vector>
  </TitlesOfParts>
  <Company>MEU</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SENSITIVITYOFMEMO</dc:title>
  <dc:creator>Diane Sammut</dc:creator>
  <cp:lastModifiedBy>Gov_User</cp:lastModifiedBy>
  <cp:revision>2</cp:revision>
  <cp:lastPrinted>2014-02-19T07:47:00Z</cp:lastPrinted>
  <dcterms:created xsi:type="dcterms:W3CDTF">2014-04-22T14:54:00Z</dcterms:created>
  <dcterms:modified xsi:type="dcterms:W3CDTF">2014-04-22T14:54:00Z</dcterms:modified>
</cp:coreProperties>
</file>