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913"/>
        <w:gridCol w:w="1440"/>
        <w:gridCol w:w="3889"/>
      </w:tblGrid>
      <w:tr w:rsidR="00264B44" w:rsidRPr="002016AF" w:rsidTr="00D341C2">
        <w:tc>
          <w:tcPr>
            <w:tcW w:w="3913" w:type="dxa"/>
          </w:tcPr>
          <w:p w:rsidR="00264B44" w:rsidRPr="002016AF" w:rsidRDefault="00264B44" w:rsidP="00D341C2">
            <w:pPr>
              <w:pStyle w:val="Header"/>
              <w:jc w:val="right"/>
              <w:rPr>
                <w:b/>
                <w:sz w:val="22"/>
                <w:szCs w:val="22"/>
              </w:rPr>
            </w:pPr>
          </w:p>
          <w:p w:rsidR="00264B44" w:rsidRPr="002016AF" w:rsidRDefault="00264B44" w:rsidP="00D341C2">
            <w:pPr>
              <w:pStyle w:val="Header"/>
              <w:jc w:val="right"/>
              <w:rPr>
                <w:b/>
                <w:sz w:val="22"/>
                <w:szCs w:val="22"/>
              </w:rPr>
            </w:pPr>
          </w:p>
          <w:p w:rsidR="00264B44" w:rsidRPr="002016AF" w:rsidRDefault="00264B44" w:rsidP="00D341C2">
            <w:pPr>
              <w:pStyle w:val="Header"/>
              <w:jc w:val="right"/>
              <w:rPr>
                <w:b/>
                <w:sz w:val="22"/>
                <w:szCs w:val="22"/>
              </w:rPr>
            </w:pPr>
            <w:r w:rsidRPr="002016AF">
              <w:rPr>
                <w:b/>
                <w:sz w:val="22"/>
                <w:szCs w:val="22"/>
              </w:rPr>
              <w:t xml:space="preserve">MINISTERU </w:t>
            </w:r>
          </w:p>
          <w:p w:rsidR="00264B44" w:rsidRDefault="00264B44" w:rsidP="00D341C2">
            <w:pPr>
              <w:pStyle w:val="Header"/>
              <w:jc w:val="right"/>
            </w:pPr>
            <w:r w:rsidRPr="002016AF">
              <w:rPr>
                <w:b/>
                <w:sz w:val="22"/>
                <w:szCs w:val="22"/>
              </w:rPr>
              <w:t>G</w:t>
            </w:r>
            <w:r w:rsidRPr="002016AF">
              <w:rPr>
                <w:b/>
                <w:bCs/>
                <w:sz w:val="22"/>
                <w:szCs w:val="22"/>
                <w:lang w:val="mt-MT"/>
              </w:rPr>
              <w:t>Ħ</w:t>
            </w:r>
            <w:r w:rsidRPr="002016AF">
              <w:rPr>
                <w:b/>
                <w:sz w:val="22"/>
                <w:szCs w:val="22"/>
              </w:rPr>
              <w:t>ALL-AFFARIJIET BARRANIN</w:t>
            </w:r>
          </w:p>
        </w:tc>
        <w:tc>
          <w:tcPr>
            <w:tcW w:w="1440" w:type="dxa"/>
          </w:tcPr>
          <w:p w:rsidR="00264B44" w:rsidRDefault="00264B44" w:rsidP="00D341C2">
            <w:pPr>
              <w:pStyle w:val="Header"/>
              <w:jc w:val="center"/>
            </w:pPr>
            <w:r w:rsidRPr="002016AF">
              <w:rPr>
                <w:b/>
                <w:sz w:val="22"/>
                <w:szCs w:val="22"/>
              </w:rPr>
              <w:object w:dxaOrig="2070"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3pt" o:ole="" fillcolor="window">
                  <v:imagedata r:id="rId8" o:title=""/>
                </v:shape>
                <o:OLEObject Type="Embed" ProgID="PBrush" ShapeID="_x0000_i1025" DrawAspect="Content" ObjectID="_1459690710" r:id="rId9">
                  <o:FieldCodes>\s \* mergeformat</o:FieldCodes>
                </o:OLEObject>
              </w:object>
            </w:r>
          </w:p>
        </w:tc>
        <w:tc>
          <w:tcPr>
            <w:tcW w:w="3889" w:type="dxa"/>
          </w:tcPr>
          <w:p w:rsidR="00264B44" w:rsidRPr="002016AF" w:rsidRDefault="00264B44" w:rsidP="00D341C2">
            <w:pPr>
              <w:rPr>
                <w:b/>
                <w:sz w:val="22"/>
                <w:szCs w:val="22"/>
              </w:rPr>
            </w:pPr>
          </w:p>
          <w:p w:rsidR="00264B44" w:rsidRPr="002016AF" w:rsidRDefault="00264B44" w:rsidP="00D341C2">
            <w:pPr>
              <w:rPr>
                <w:b/>
                <w:sz w:val="22"/>
                <w:szCs w:val="22"/>
              </w:rPr>
            </w:pPr>
          </w:p>
          <w:p w:rsidR="00264B44" w:rsidRPr="002016AF" w:rsidRDefault="00264B44" w:rsidP="00D341C2">
            <w:pPr>
              <w:rPr>
                <w:b/>
                <w:sz w:val="22"/>
                <w:szCs w:val="22"/>
              </w:rPr>
            </w:pPr>
            <w:r w:rsidRPr="002016AF">
              <w:rPr>
                <w:b/>
                <w:sz w:val="22"/>
                <w:szCs w:val="22"/>
              </w:rPr>
              <w:t>MINISTRY</w:t>
            </w:r>
          </w:p>
          <w:p w:rsidR="00264B44" w:rsidRPr="002016AF" w:rsidRDefault="00264B44" w:rsidP="00D341C2">
            <w:pPr>
              <w:rPr>
                <w:b/>
                <w:sz w:val="22"/>
                <w:szCs w:val="22"/>
              </w:rPr>
            </w:pPr>
            <w:r w:rsidRPr="002016AF">
              <w:rPr>
                <w:b/>
                <w:sz w:val="22"/>
                <w:szCs w:val="22"/>
              </w:rPr>
              <w:t>FOR FOREIGN AFFAIRS</w:t>
            </w:r>
          </w:p>
        </w:tc>
      </w:tr>
    </w:tbl>
    <w:p w:rsidR="00264B44" w:rsidRDefault="00264B44" w:rsidP="00264B44">
      <w:pPr>
        <w:pBdr>
          <w:bottom w:val="single" w:sz="12" w:space="1" w:color="auto"/>
        </w:pBdr>
        <w:rPr>
          <w:b/>
          <w:sz w:val="22"/>
          <w:szCs w:val="22"/>
        </w:rPr>
      </w:pPr>
    </w:p>
    <w:p w:rsidR="00DB6AC1" w:rsidRPr="002706C2" w:rsidRDefault="00DB6AC1" w:rsidP="00DB6AC1">
      <w:pPr>
        <w:pBdr>
          <w:bottom w:val="single" w:sz="12" w:space="1" w:color="auto"/>
        </w:pBdr>
        <w:jc w:val="center"/>
        <w:rPr>
          <w:b/>
          <w:sz w:val="22"/>
          <w:szCs w:val="22"/>
        </w:rPr>
      </w:pPr>
      <w:r w:rsidRPr="002706C2">
        <w:rPr>
          <w:b/>
          <w:sz w:val="22"/>
          <w:szCs w:val="22"/>
        </w:rPr>
        <w:t>CABINET MEMO</w:t>
      </w:r>
    </w:p>
    <w:p w:rsidR="00DB6AC1" w:rsidRPr="002706C2" w:rsidRDefault="00DB6AC1" w:rsidP="00DB6AC1">
      <w:pPr>
        <w:pBdr>
          <w:bottom w:val="single" w:sz="12" w:space="1" w:color="auto"/>
        </w:pBdr>
        <w:jc w:val="both"/>
        <w:rPr>
          <w:b/>
          <w:sz w:val="22"/>
          <w:szCs w:val="22"/>
        </w:rPr>
      </w:pPr>
    </w:p>
    <w:p w:rsidR="00DB6AC1" w:rsidRPr="002706C2" w:rsidRDefault="00DB6AC1" w:rsidP="00DB6AC1">
      <w:pPr>
        <w:jc w:val="both"/>
        <w:rPr>
          <w:b/>
          <w:sz w:val="22"/>
          <w:szCs w:val="22"/>
        </w:rPr>
      </w:pPr>
    </w:p>
    <w:p w:rsidR="00DB6AC1" w:rsidRPr="002706C2" w:rsidRDefault="00DB6AC1" w:rsidP="00DB6AC1">
      <w:pPr>
        <w:tabs>
          <w:tab w:val="left" w:pos="1440"/>
        </w:tabs>
        <w:jc w:val="both"/>
        <w:rPr>
          <w:b/>
          <w:sz w:val="22"/>
          <w:szCs w:val="22"/>
        </w:rPr>
      </w:pPr>
      <w:r w:rsidRPr="002706C2">
        <w:rPr>
          <w:b/>
          <w:sz w:val="22"/>
          <w:szCs w:val="22"/>
        </w:rPr>
        <w:t>From:</w:t>
      </w:r>
      <w:r w:rsidRPr="002706C2">
        <w:rPr>
          <w:b/>
          <w:sz w:val="22"/>
          <w:szCs w:val="22"/>
        </w:rPr>
        <w:tab/>
        <w:t>Hon Dr</w:t>
      </w:r>
      <w:r w:rsidR="00D341C2">
        <w:rPr>
          <w:b/>
          <w:sz w:val="22"/>
          <w:szCs w:val="22"/>
        </w:rPr>
        <w:t>.</w:t>
      </w:r>
      <w:r w:rsidRPr="002706C2">
        <w:rPr>
          <w:b/>
          <w:sz w:val="22"/>
          <w:szCs w:val="22"/>
        </w:rPr>
        <w:t xml:space="preserve"> George </w:t>
      </w:r>
      <w:r>
        <w:rPr>
          <w:b/>
          <w:sz w:val="22"/>
          <w:szCs w:val="22"/>
        </w:rPr>
        <w:t xml:space="preserve">W. </w:t>
      </w:r>
      <w:r w:rsidRPr="002706C2">
        <w:rPr>
          <w:b/>
          <w:sz w:val="22"/>
          <w:szCs w:val="22"/>
        </w:rPr>
        <w:t>Vella, Minister for Foreign Affairs</w:t>
      </w:r>
    </w:p>
    <w:p w:rsidR="00DB6AC1" w:rsidRPr="002706C2" w:rsidRDefault="00DB6AC1" w:rsidP="00DB6AC1">
      <w:pPr>
        <w:jc w:val="both"/>
        <w:rPr>
          <w:b/>
          <w:sz w:val="22"/>
          <w:szCs w:val="22"/>
        </w:rPr>
      </w:pPr>
      <w:r w:rsidRPr="002706C2">
        <w:rPr>
          <w:b/>
          <w:sz w:val="22"/>
          <w:szCs w:val="22"/>
        </w:rPr>
        <w:t>Date:</w:t>
      </w:r>
      <w:r w:rsidRPr="002706C2">
        <w:rPr>
          <w:b/>
          <w:sz w:val="22"/>
          <w:szCs w:val="22"/>
        </w:rPr>
        <w:tab/>
      </w:r>
      <w:r w:rsidRPr="002706C2">
        <w:rPr>
          <w:b/>
          <w:sz w:val="22"/>
          <w:szCs w:val="22"/>
        </w:rPr>
        <w:tab/>
      </w:r>
      <w:r>
        <w:rPr>
          <w:b/>
          <w:sz w:val="22"/>
          <w:szCs w:val="22"/>
        </w:rPr>
        <w:t>2</w:t>
      </w:r>
      <w:r w:rsidR="007B108C">
        <w:rPr>
          <w:b/>
          <w:sz w:val="22"/>
          <w:szCs w:val="22"/>
        </w:rPr>
        <w:t>9</w:t>
      </w:r>
      <w:r>
        <w:rPr>
          <w:b/>
          <w:sz w:val="22"/>
          <w:szCs w:val="22"/>
        </w:rPr>
        <w:t xml:space="preserve"> January 2014</w:t>
      </w:r>
    </w:p>
    <w:p w:rsidR="00DB6AC1" w:rsidRPr="002706C2" w:rsidRDefault="00DB6AC1" w:rsidP="00DB6AC1">
      <w:pPr>
        <w:jc w:val="both"/>
        <w:rPr>
          <w:b/>
          <w:sz w:val="22"/>
          <w:szCs w:val="22"/>
        </w:rPr>
      </w:pPr>
    </w:p>
    <w:p w:rsidR="00DB6AC1" w:rsidRPr="002706C2" w:rsidRDefault="00DB6AC1" w:rsidP="00DB6AC1">
      <w:pPr>
        <w:jc w:val="both"/>
        <w:rPr>
          <w:b/>
          <w:sz w:val="22"/>
          <w:szCs w:val="22"/>
        </w:rPr>
      </w:pPr>
      <w:r w:rsidRPr="002706C2">
        <w:rPr>
          <w:b/>
          <w:sz w:val="22"/>
          <w:szCs w:val="22"/>
        </w:rPr>
        <w:t>Subject:</w:t>
      </w:r>
      <w:r w:rsidRPr="002706C2">
        <w:rPr>
          <w:b/>
          <w:sz w:val="22"/>
          <w:szCs w:val="22"/>
        </w:rPr>
        <w:tab/>
      </w:r>
      <w:r w:rsidR="00D341C2">
        <w:rPr>
          <w:b/>
          <w:sz w:val="22"/>
          <w:szCs w:val="22"/>
        </w:rPr>
        <w:t>R</w:t>
      </w:r>
      <w:r>
        <w:rPr>
          <w:b/>
          <w:sz w:val="22"/>
          <w:szCs w:val="22"/>
        </w:rPr>
        <w:t>atification of the 11</w:t>
      </w:r>
      <w:r w:rsidRPr="00DB6AC1">
        <w:rPr>
          <w:b/>
          <w:sz w:val="22"/>
          <w:szCs w:val="22"/>
          <w:vertAlign w:val="superscript"/>
        </w:rPr>
        <w:t>th</w:t>
      </w:r>
      <w:r>
        <w:rPr>
          <w:b/>
          <w:sz w:val="22"/>
          <w:szCs w:val="22"/>
        </w:rPr>
        <w:t xml:space="preserve"> EDF Internal Agreement 2014-2020</w:t>
      </w:r>
      <w:r w:rsidR="00264B44">
        <w:rPr>
          <w:rStyle w:val="FootnoteReference"/>
          <w:b/>
          <w:sz w:val="22"/>
          <w:szCs w:val="22"/>
        </w:rPr>
        <w:footnoteReference w:id="1"/>
      </w:r>
    </w:p>
    <w:p w:rsidR="00DB6AC1" w:rsidRPr="002706C2" w:rsidRDefault="00DB6AC1" w:rsidP="00DB6AC1">
      <w:pPr>
        <w:pBdr>
          <w:bottom w:val="single" w:sz="12" w:space="1" w:color="auto"/>
        </w:pBdr>
        <w:jc w:val="both"/>
        <w:rPr>
          <w:b/>
          <w:sz w:val="22"/>
          <w:szCs w:val="22"/>
        </w:rPr>
      </w:pPr>
    </w:p>
    <w:p w:rsidR="003168A0" w:rsidRDefault="003168A0" w:rsidP="00F81B04">
      <w:pPr>
        <w:ind w:left="-284" w:right="-330"/>
      </w:pPr>
    </w:p>
    <w:p w:rsidR="00DB6AC1" w:rsidRPr="00E42832" w:rsidRDefault="00DB6AC1" w:rsidP="00892BD5">
      <w:pPr>
        <w:ind w:right="-330"/>
      </w:pPr>
    </w:p>
    <w:p w:rsidR="0018584A" w:rsidRPr="00E42832" w:rsidRDefault="000962C3" w:rsidP="00F81B04">
      <w:pPr>
        <w:numPr>
          <w:ilvl w:val="0"/>
          <w:numId w:val="2"/>
        </w:numPr>
        <w:autoSpaceDE w:val="0"/>
        <w:autoSpaceDN w:val="0"/>
        <w:adjustRightInd w:val="0"/>
        <w:ind w:left="-284" w:right="-330" w:firstLine="0"/>
        <w:jc w:val="both"/>
        <w:rPr>
          <w:b/>
        </w:rPr>
      </w:pPr>
      <w:r>
        <w:rPr>
          <w:b/>
        </w:rPr>
        <w:t xml:space="preserve">   </w:t>
      </w:r>
      <w:r w:rsidR="0018584A" w:rsidRPr="00E42832">
        <w:rPr>
          <w:b/>
        </w:rPr>
        <w:t>Background</w:t>
      </w:r>
      <w:r w:rsidR="00D341C2">
        <w:rPr>
          <w:b/>
        </w:rPr>
        <w:t xml:space="preserve"> and scope of the Agreement </w:t>
      </w:r>
    </w:p>
    <w:p w:rsidR="0018584A" w:rsidRPr="00E42832" w:rsidRDefault="0018584A" w:rsidP="00F81B04">
      <w:pPr>
        <w:autoSpaceDE w:val="0"/>
        <w:autoSpaceDN w:val="0"/>
        <w:adjustRightInd w:val="0"/>
        <w:ind w:left="-284" w:right="-330"/>
        <w:jc w:val="both"/>
      </w:pPr>
    </w:p>
    <w:p w:rsidR="00960CC3" w:rsidRPr="00E42832" w:rsidRDefault="003168A0" w:rsidP="00F81B04">
      <w:pPr>
        <w:autoSpaceDE w:val="0"/>
        <w:autoSpaceDN w:val="0"/>
        <w:adjustRightInd w:val="0"/>
        <w:ind w:left="-284" w:right="-330"/>
        <w:jc w:val="both"/>
      </w:pPr>
      <w:r w:rsidRPr="00E42832">
        <w:t>The D</w:t>
      </w:r>
      <w:r w:rsidR="00766A94" w:rsidRPr="00E42832">
        <w:t>evelopment Cooperation Instrument (DCI)</w:t>
      </w:r>
      <w:r w:rsidRPr="00E42832">
        <w:t xml:space="preserve"> and the </w:t>
      </w:r>
      <w:r w:rsidR="00766A94" w:rsidRPr="00E42832">
        <w:t>European Development Fund (</w:t>
      </w:r>
      <w:r w:rsidRPr="00E42832">
        <w:t>EDF</w:t>
      </w:r>
      <w:r w:rsidR="00766A94" w:rsidRPr="00E42832">
        <w:t>)</w:t>
      </w:r>
      <w:r w:rsidRPr="00E42832">
        <w:t xml:space="preserve"> are the two most important development cooperation instruments and the largest </w:t>
      </w:r>
      <w:r w:rsidR="00960CC3" w:rsidRPr="00E42832">
        <w:t xml:space="preserve">EU </w:t>
      </w:r>
      <w:r w:rsidRPr="00E42832">
        <w:t xml:space="preserve">financial “instruments” focused on poverty alleviation. The EDF is the main instrument for delivering EU development assistance to the Africa Caribbean and Pacific (ACP) and </w:t>
      </w:r>
      <w:smartTag w:uri="urn:schemas-microsoft-com:office:smarttags" w:element="place">
        <w:smartTag w:uri="urn:schemas-microsoft-com:office:smarttags" w:element="PlaceName">
          <w:r w:rsidRPr="00E42832">
            <w:t>Overseas</w:t>
          </w:r>
        </w:smartTag>
        <w:r w:rsidRPr="00E42832">
          <w:t xml:space="preserve"> </w:t>
        </w:r>
        <w:smartTag w:uri="urn:schemas-microsoft-com:office:smarttags" w:element="PlaceName">
          <w:r w:rsidRPr="00E42832">
            <w:t>Countries</w:t>
          </w:r>
        </w:smartTag>
        <w:r w:rsidRPr="00E42832">
          <w:t xml:space="preserve"> </w:t>
        </w:r>
        <w:smartTag w:uri="urn:schemas-microsoft-com:office:smarttags" w:element="PlaceType">
          <w:r w:rsidRPr="00E42832">
            <w:t>Territories</w:t>
          </w:r>
        </w:smartTag>
      </w:smartTag>
      <w:r w:rsidRPr="00E42832">
        <w:t xml:space="preserve"> (OCTs). To date it has been funded outside the EU budget by the EU Member States (MS) on the basis of financial payments related to specific contribution shares, or “keys”. The EDF is</w:t>
      </w:r>
      <w:r w:rsidR="00960CC3" w:rsidRPr="00E42832">
        <w:t xml:space="preserve"> currently the only EU policy instrument </w:t>
      </w:r>
      <w:r w:rsidRPr="00E42832">
        <w:t>subject to financial rules and procedures</w:t>
      </w:r>
      <w:r w:rsidR="00960CC3" w:rsidRPr="00E42832">
        <w:t xml:space="preserve"> separate from the main EU </w:t>
      </w:r>
      <w:r w:rsidR="00A75F87" w:rsidRPr="00E42832">
        <w:t>Multi Annual Financial Framework (</w:t>
      </w:r>
      <w:r w:rsidR="00960CC3" w:rsidRPr="00E42832">
        <w:t>MFF</w:t>
      </w:r>
      <w:r w:rsidR="00A75F87" w:rsidRPr="00E42832">
        <w:t>)</w:t>
      </w:r>
      <w:r w:rsidR="00960CC3" w:rsidRPr="00E42832">
        <w:t xml:space="preserve"> budget</w:t>
      </w:r>
      <w:r w:rsidR="00A82041" w:rsidRPr="00E42832">
        <w:t xml:space="preserve">. EDF contributions </w:t>
      </w:r>
      <w:r w:rsidRPr="00E42832">
        <w:t>r</w:t>
      </w:r>
      <w:r w:rsidR="00A75F87" w:rsidRPr="00E42832">
        <w:t>eflect the comparative size</w:t>
      </w:r>
      <w:r w:rsidRPr="00E42832">
        <w:t xml:space="preserve"> of individual M</w:t>
      </w:r>
      <w:r w:rsidR="00A82041" w:rsidRPr="00E42832">
        <w:t xml:space="preserve">S and </w:t>
      </w:r>
      <w:r w:rsidR="00766A94" w:rsidRPr="00E42832">
        <w:t>M</w:t>
      </w:r>
      <w:r w:rsidR="00A82041" w:rsidRPr="00E42832">
        <w:t xml:space="preserve">S have </w:t>
      </w:r>
      <w:r w:rsidR="00766A94" w:rsidRPr="00E42832">
        <w:t xml:space="preserve">the final say on the decisions </w:t>
      </w:r>
      <w:r w:rsidR="00A82041" w:rsidRPr="00E42832">
        <w:t>(</w:t>
      </w:r>
      <w:r w:rsidR="00766A94" w:rsidRPr="00E42832">
        <w:t>unlike the DCI</w:t>
      </w:r>
      <w:r w:rsidR="00A82041" w:rsidRPr="00E42832">
        <w:t>)</w:t>
      </w:r>
      <w:r w:rsidR="00766A94" w:rsidRPr="00E42832">
        <w:t xml:space="preserve">. </w:t>
      </w:r>
    </w:p>
    <w:p w:rsidR="00960CC3" w:rsidRPr="00E42832" w:rsidRDefault="00960CC3" w:rsidP="00F81B04">
      <w:pPr>
        <w:autoSpaceDE w:val="0"/>
        <w:autoSpaceDN w:val="0"/>
        <w:adjustRightInd w:val="0"/>
        <w:ind w:left="-284" w:right="-330"/>
        <w:jc w:val="both"/>
      </w:pPr>
    </w:p>
    <w:p w:rsidR="006960F3" w:rsidRPr="00E42832" w:rsidRDefault="00A82041" w:rsidP="00F81B04">
      <w:pPr>
        <w:autoSpaceDE w:val="0"/>
        <w:autoSpaceDN w:val="0"/>
        <w:adjustRightInd w:val="0"/>
        <w:ind w:left="-284" w:right="-330"/>
        <w:jc w:val="both"/>
      </w:pPr>
      <w:r w:rsidRPr="00E42832">
        <w:t xml:space="preserve">An </w:t>
      </w:r>
      <w:r w:rsidR="00766A94" w:rsidRPr="00E42832">
        <w:t xml:space="preserve">EDF Committee </w:t>
      </w:r>
      <w:r w:rsidRPr="00E42832">
        <w:t>of MS r</w:t>
      </w:r>
      <w:r w:rsidR="00766A94" w:rsidRPr="00E42832">
        <w:t xml:space="preserve">epresentatives </w:t>
      </w:r>
      <w:r w:rsidRPr="00E42832">
        <w:t xml:space="preserve">oversees </w:t>
      </w:r>
      <w:r w:rsidR="00766A94" w:rsidRPr="00E42832">
        <w:t>Commission administ</w:t>
      </w:r>
      <w:r w:rsidRPr="00E42832">
        <w:t>ration of EDF funds</w:t>
      </w:r>
      <w:r w:rsidR="00766A94" w:rsidRPr="00E42832">
        <w:t>. Th</w:t>
      </w:r>
      <w:r w:rsidRPr="00E42832">
        <w:t xml:space="preserve">is is </w:t>
      </w:r>
      <w:r w:rsidR="00766A94" w:rsidRPr="00E42832">
        <w:t xml:space="preserve">chaired by </w:t>
      </w:r>
      <w:r w:rsidR="005C7675">
        <w:t>the</w:t>
      </w:r>
      <w:r w:rsidR="00766A94" w:rsidRPr="00E42832">
        <w:t xml:space="preserve"> Commission, and its secretariat shall be provided by the Commission. The EDF Committee shall act by a qualified majority of 720 votes out of 998, expressing a vote in favour by at least 14 Member States. The blocking minority shall consist of 279 votes. </w:t>
      </w:r>
      <w:smartTag w:uri="urn:schemas-microsoft-com:office:smarttags" w:element="place">
        <w:smartTag w:uri="urn:schemas-microsoft-com:office:smarttags" w:element="country-region">
          <w:r w:rsidR="00766A94" w:rsidRPr="00E42832">
            <w:t>Malta</w:t>
          </w:r>
        </w:smartTag>
      </w:smartTag>
      <w:r w:rsidR="00766A94" w:rsidRPr="00E42832">
        <w:t xml:space="preserve"> has 1 vote. Should a State accede to the </w:t>
      </w:r>
      <w:smartTag w:uri="urn:schemas-microsoft-com:office:smarttags" w:element="place">
        <w:r w:rsidR="00766A94" w:rsidRPr="00E42832">
          <w:t>Union</w:t>
        </w:r>
      </w:smartTag>
      <w:r w:rsidR="00766A94" w:rsidRPr="00E42832">
        <w:t>, the weightings laid down in paragraph 2 and the qualified majority referred to in paragraph 3 of the 11</w:t>
      </w:r>
      <w:r w:rsidR="00766A94" w:rsidRPr="00E42832">
        <w:rPr>
          <w:vertAlign w:val="superscript"/>
        </w:rPr>
        <w:t>th</w:t>
      </w:r>
      <w:r w:rsidR="00766A94" w:rsidRPr="00E42832">
        <w:t xml:space="preserve"> EDF Internal agreement shall be amended by a decision of the Council, acting unanimously. Nevertheless </w:t>
      </w:r>
      <w:smartTag w:uri="urn:schemas-microsoft-com:office:smarttags" w:element="country-region">
        <w:smartTag w:uri="urn:schemas-microsoft-com:office:smarttags" w:element="place">
          <w:r w:rsidR="00766A94" w:rsidRPr="00E42832">
            <w:t>Malta</w:t>
          </w:r>
        </w:smartTag>
      </w:smartTag>
      <w:r w:rsidR="00766A94" w:rsidRPr="00E42832">
        <w:t>’s voting power cannot get less than</w:t>
      </w:r>
      <w:r w:rsidR="006960F3" w:rsidRPr="00E42832">
        <w:t xml:space="preserve"> 1 vote.</w:t>
      </w:r>
      <w:r w:rsidR="00766A94" w:rsidRPr="00E42832">
        <w:t xml:space="preserve"> Ultimately the Council shall adopt the rules of procedure of the EDF Committee acting unanimously on a proposal from the Commission.</w:t>
      </w:r>
      <w:r w:rsidR="006960F3" w:rsidRPr="00E42832">
        <w:t xml:space="preserve"> Then the </w:t>
      </w:r>
      <w:r w:rsidR="003211EB">
        <w:t>final versions of the 11</w:t>
      </w:r>
      <w:r w:rsidR="003211EB" w:rsidRPr="003211EB">
        <w:rPr>
          <w:vertAlign w:val="superscript"/>
        </w:rPr>
        <w:t>th</w:t>
      </w:r>
      <w:r w:rsidR="003211EB">
        <w:t xml:space="preserve"> E</w:t>
      </w:r>
      <w:r w:rsidR="006960F3" w:rsidRPr="00E42832">
        <w:t>DF Implementation Regulation and the implementing rules of the Overseas Association Decision shall contain appropriate modifications and improvements to the programming and decision-making procedures, furthe</w:t>
      </w:r>
      <w:r w:rsidR="00D02597">
        <w:t>r harmonising Union and the 11</w:t>
      </w:r>
      <w:r w:rsidR="00D02597" w:rsidRPr="00D02597">
        <w:rPr>
          <w:vertAlign w:val="superscript"/>
        </w:rPr>
        <w:t>th</w:t>
      </w:r>
      <w:r w:rsidR="00D02597">
        <w:t xml:space="preserve"> </w:t>
      </w:r>
      <w:r w:rsidR="006960F3" w:rsidRPr="00E42832">
        <w:t>EDF procedures as far as possible.</w:t>
      </w:r>
    </w:p>
    <w:p w:rsidR="006960F3" w:rsidRPr="00E42832" w:rsidRDefault="006960F3" w:rsidP="00F81B04">
      <w:pPr>
        <w:autoSpaceDE w:val="0"/>
        <w:autoSpaceDN w:val="0"/>
        <w:adjustRightInd w:val="0"/>
        <w:ind w:left="-284" w:right="-330"/>
        <w:jc w:val="both"/>
      </w:pPr>
    </w:p>
    <w:p w:rsidR="007F6252" w:rsidRPr="00E42832" w:rsidRDefault="003168A0" w:rsidP="00F81B04">
      <w:pPr>
        <w:ind w:left="-284" w:right="-330"/>
        <w:jc w:val="both"/>
        <w:rPr>
          <w:i/>
        </w:rPr>
      </w:pPr>
      <w:r w:rsidRPr="00E42832">
        <w:t xml:space="preserve">Given the EDF’s special status as an inter-governmental construction requires a unanimous decision to integrate it into the budget. Consequently the management of the EDF and its resources are not the same as that for the EU budget, where the European Parliament (EP) has a co-decision role together with the Council. </w:t>
      </w:r>
      <w:r w:rsidR="0018584A" w:rsidRPr="00E42832">
        <w:t>Since its inception in 1957 and official launch in 1959 b</w:t>
      </w:r>
      <w:r w:rsidRPr="00E42832">
        <w:t>udgetisation of EDF has been proposed twice citing reasons such as financial and more scrutiny and transparency from the EP.</w:t>
      </w:r>
      <w:r w:rsidR="0018584A" w:rsidRPr="00E42832">
        <w:t xml:space="preserve"> </w:t>
      </w:r>
      <w:r w:rsidR="000368E3" w:rsidRPr="00E42832">
        <w:t>Each programming period is formally agreed through the signature of an Internal Agreement between the EU Member States.</w:t>
      </w:r>
      <w:r w:rsidR="00766A94" w:rsidRPr="00E42832">
        <w:t xml:space="preserve"> </w:t>
      </w:r>
      <w:r w:rsidR="000368E3" w:rsidRPr="00E42832">
        <w:t xml:space="preserve">Since then ten EDF programming periods went by with </w:t>
      </w:r>
      <w:r w:rsidR="000368E3" w:rsidRPr="00E42832">
        <w:lastRenderedPageBreak/>
        <w:t>the most recent negotiated being the</w:t>
      </w:r>
      <w:r w:rsidR="005364F7">
        <w:t xml:space="preserve"> </w:t>
      </w:r>
      <w:r w:rsidR="000368E3" w:rsidRPr="00E42832">
        <w:t>11</w:t>
      </w:r>
      <w:r w:rsidR="000368E3" w:rsidRPr="00E42832">
        <w:rPr>
          <w:vertAlign w:val="superscript"/>
        </w:rPr>
        <w:t>th</w:t>
      </w:r>
      <w:r w:rsidR="000368E3" w:rsidRPr="00E42832">
        <w:t xml:space="preserve"> EDF which was the subject of intense negotiations to postpone budegtisation. </w:t>
      </w:r>
      <w:r w:rsidR="00DD660D" w:rsidRPr="00E42832">
        <w:t>The 11</w:t>
      </w:r>
      <w:r w:rsidR="00DD660D" w:rsidRPr="00E42832">
        <w:rPr>
          <w:vertAlign w:val="superscript"/>
        </w:rPr>
        <w:t>th</w:t>
      </w:r>
      <w:r w:rsidR="00DD660D" w:rsidRPr="00E42832">
        <w:t xml:space="preserve"> EDF Internal Agreement is worth € 30,506</w:t>
      </w:r>
      <w:r w:rsidR="007F6252" w:rsidRPr="00E42832">
        <w:t>.</w:t>
      </w:r>
      <w:r w:rsidR="00DD660D" w:rsidRPr="00E42832">
        <w:t>000</w:t>
      </w:r>
      <w:r w:rsidR="007F6252" w:rsidRPr="00E42832">
        <w:t>.</w:t>
      </w:r>
      <w:r w:rsidR="00DD660D" w:rsidRPr="00E42832">
        <w:t>000</w:t>
      </w:r>
      <w:r w:rsidR="007F6252" w:rsidRPr="00E42832">
        <w:t xml:space="preserve"> over the seven year period which is a slight decrease from the 10</w:t>
      </w:r>
      <w:r w:rsidR="007F6252" w:rsidRPr="00E42832">
        <w:rPr>
          <w:vertAlign w:val="superscript"/>
        </w:rPr>
        <w:t>th</w:t>
      </w:r>
      <w:r w:rsidR="007F6252" w:rsidRPr="00E42832">
        <w:t xml:space="preserve"> EDF Internal Agreement. </w:t>
      </w:r>
      <w:r w:rsidR="005364F7">
        <w:t>The amount of EUR 30 506 billion</w:t>
      </w:r>
      <w:r w:rsidR="007F6252" w:rsidRPr="00E42832">
        <w:t xml:space="preserve"> shall be available from the entry into force of the multiannual financial framework for t</w:t>
      </w:r>
      <w:r w:rsidR="00A75F87" w:rsidRPr="00E42832">
        <w:t>he period 2014 to 2020.</w:t>
      </w:r>
    </w:p>
    <w:p w:rsidR="007F6252" w:rsidRPr="00E42832" w:rsidRDefault="007F6252" w:rsidP="00F81B04">
      <w:pPr>
        <w:ind w:left="-284" w:right="-330"/>
      </w:pPr>
    </w:p>
    <w:p w:rsidR="00892BD5" w:rsidRDefault="00D379AD" w:rsidP="006314CA">
      <w:pPr>
        <w:tabs>
          <w:tab w:val="left" w:pos="9000"/>
        </w:tabs>
        <w:ind w:left="-284" w:right="-330"/>
        <w:jc w:val="both"/>
        <w:rPr>
          <w:color w:val="000000"/>
        </w:rPr>
      </w:pPr>
      <w:r w:rsidRPr="00E42832">
        <w:rPr>
          <w:color w:val="000000"/>
        </w:rPr>
        <w:t xml:space="preserve">Following the end of negotiations </w:t>
      </w:r>
      <w:r w:rsidR="0018584A" w:rsidRPr="00E42832">
        <w:rPr>
          <w:color w:val="000000"/>
        </w:rPr>
        <w:t>Malta’s key for the 11</w:t>
      </w:r>
      <w:r w:rsidR="0018584A" w:rsidRPr="00E42832">
        <w:rPr>
          <w:color w:val="000000"/>
          <w:vertAlign w:val="superscript"/>
        </w:rPr>
        <w:t>th</w:t>
      </w:r>
      <w:r w:rsidR="0018584A" w:rsidRPr="00E42832">
        <w:rPr>
          <w:color w:val="000000"/>
        </w:rPr>
        <w:t xml:space="preserve"> EDF contribution cur</w:t>
      </w:r>
      <w:r w:rsidR="007C23F0" w:rsidRPr="00E42832">
        <w:rPr>
          <w:color w:val="000000"/>
        </w:rPr>
        <w:t>rently</w:t>
      </w:r>
      <w:r w:rsidR="0018584A" w:rsidRPr="00E42832">
        <w:rPr>
          <w:color w:val="000000"/>
        </w:rPr>
        <w:t xml:space="preserve"> stands at </w:t>
      </w:r>
      <w:r w:rsidRPr="00E42832">
        <w:rPr>
          <w:color w:val="000000"/>
        </w:rPr>
        <w:t xml:space="preserve">0,03801% which is worth </w:t>
      </w:r>
      <w:r w:rsidRPr="00E42832">
        <w:rPr>
          <w:b/>
          <w:color w:val="000000"/>
        </w:rPr>
        <w:t>€11,595.331</w:t>
      </w:r>
      <w:r w:rsidRPr="00E42832">
        <w:rPr>
          <w:color w:val="000000"/>
        </w:rPr>
        <w:t xml:space="preserve"> spread over a seven year period unlike the originally presented </w:t>
      </w:r>
      <w:r w:rsidR="0018584A" w:rsidRPr="00E42832">
        <w:rPr>
          <w:color w:val="000000"/>
        </w:rPr>
        <w:t>0.04%</w:t>
      </w:r>
      <w:r w:rsidR="00264B44">
        <w:rPr>
          <w:rStyle w:val="FootnoteReference"/>
          <w:color w:val="000000"/>
        </w:rPr>
        <w:footnoteReference w:id="2"/>
      </w:r>
      <w:r w:rsidR="0018584A" w:rsidRPr="00E42832">
        <w:rPr>
          <w:color w:val="000000"/>
        </w:rPr>
        <w:t xml:space="preserve"> equivalent to €13.44</w:t>
      </w:r>
      <w:r w:rsidR="005C7675">
        <w:rPr>
          <w:color w:val="000000"/>
        </w:rPr>
        <w:t>0</w:t>
      </w:r>
      <w:r w:rsidR="0018584A" w:rsidRPr="00E42832">
        <w:rPr>
          <w:color w:val="000000"/>
        </w:rPr>
        <w:t>.</w:t>
      </w:r>
      <w:r w:rsidR="005C7675">
        <w:rPr>
          <w:color w:val="000000"/>
        </w:rPr>
        <w:t>000</w:t>
      </w:r>
      <w:r w:rsidR="0018584A" w:rsidRPr="00E42832">
        <w:rPr>
          <w:color w:val="000000"/>
        </w:rPr>
        <w:t xml:space="preserve"> </w:t>
      </w:r>
      <w:r w:rsidRPr="00E42832">
        <w:rPr>
          <w:color w:val="000000"/>
        </w:rPr>
        <w:t>During the negotiations process i</w:t>
      </w:r>
      <w:r w:rsidR="0018584A" w:rsidRPr="00E42832">
        <w:rPr>
          <w:color w:val="000000"/>
        </w:rPr>
        <w:t xml:space="preserve">t </w:t>
      </w:r>
      <w:r w:rsidRPr="00E42832">
        <w:rPr>
          <w:color w:val="000000"/>
        </w:rPr>
        <w:t xml:space="preserve">was ensured </w:t>
      </w:r>
      <w:r w:rsidR="0018584A" w:rsidRPr="00E42832">
        <w:rPr>
          <w:color w:val="000000"/>
        </w:rPr>
        <w:t xml:space="preserve">that any parliamentary scrutiny by the European Parliament (EP) will not over-bureaucratise the EDF and render it inefficient in times of need. </w:t>
      </w:r>
      <w:r w:rsidRPr="00E42832">
        <w:rPr>
          <w:color w:val="000000"/>
        </w:rPr>
        <w:t xml:space="preserve">Otherwise the </w:t>
      </w:r>
      <w:r w:rsidR="0018584A" w:rsidRPr="00E42832">
        <w:rPr>
          <w:color w:val="000000"/>
        </w:rPr>
        <w:t xml:space="preserve">effects brought on by bringing the EDF contribution key closer to the key used for the EU budget, </w:t>
      </w:r>
      <w:r w:rsidRPr="00E42832">
        <w:rPr>
          <w:color w:val="000000"/>
        </w:rPr>
        <w:t>would have been</w:t>
      </w:r>
      <w:r w:rsidR="0018584A" w:rsidRPr="00E42832">
        <w:rPr>
          <w:color w:val="000000"/>
        </w:rPr>
        <w:t xml:space="preserve"> similar to those brought on by budgetisation. </w:t>
      </w:r>
    </w:p>
    <w:p w:rsidR="006314CA" w:rsidRPr="00E42832" w:rsidRDefault="006314CA" w:rsidP="006314CA">
      <w:pPr>
        <w:tabs>
          <w:tab w:val="left" w:pos="9000"/>
        </w:tabs>
        <w:ind w:left="-284" w:right="-330"/>
        <w:jc w:val="both"/>
        <w:rPr>
          <w:color w:val="000000"/>
        </w:rPr>
      </w:pPr>
    </w:p>
    <w:p w:rsidR="00597109" w:rsidRDefault="000962C3" w:rsidP="006314CA">
      <w:pPr>
        <w:numPr>
          <w:ilvl w:val="0"/>
          <w:numId w:val="2"/>
        </w:numPr>
        <w:ind w:right="-330" w:hanging="1004"/>
        <w:rPr>
          <w:b/>
        </w:rPr>
      </w:pPr>
      <w:r>
        <w:rPr>
          <w:b/>
        </w:rPr>
        <w:t xml:space="preserve">   </w:t>
      </w:r>
      <w:r w:rsidR="00597109" w:rsidRPr="00597109">
        <w:rPr>
          <w:b/>
        </w:rPr>
        <w:t xml:space="preserve">Adoption and Signature of the Agreement </w:t>
      </w:r>
    </w:p>
    <w:p w:rsidR="006314CA" w:rsidRPr="00597109" w:rsidRDefault="006314CA" w:rsidP="006314CA">
      <w:pPr>
        <w:ind w:left="720" w:right="-330"/>
        <w:rPr>
          <w:b/>
        </w:rPr>
      </w:pPr>
    </w:p>
    <w:p w:rsidR="00CD4336" w:rsidRPr="00E42832" w:rsidRDefault="00346714" w:rsidP="006314CA">
      <w:pPr>
        <w:tabs>
          <w:tab w:val="left" w:pos="9000"/>
        </w:tabs>
        <w:ind w:left="-284" w:right="-330"/>
        <w:jc w:val="both"/>
      </w:pPr>
      <w:r w:rsidRPr="00E42832">
        <w:t xml:space="preserve">Following intense negotiations the Internal </w:t>
      </w:r>
      <w:r w:rsidR="00D379AD" w:rsidRPr="00E42832">
        <w:t>Agreement was signed on the 24</w:t>
      </w:r>
      <w:r w:rsidR="00D379AD" w:rsidRPr="00E42832">
        <w:rPr>
          <w:vertAlign w:val="superscript"/>
        </w:rPr>
        <w:t>t</w:t>
      </w:r>
      <w:r w:rsidRPr="00E42832">
        <w:rPr>
          <w:vertAlign w:val="superscript"/>
        </w:rPr>
        <w:t>h</w:t>
      </w:r>
      <w:r w:rsidR="00D379AD" w:rsidRPr="00E42832">
        <w:t xml:space="preserve"> </w:t>
      </w:r>
      <w:r w:rsidRPr="00E42832">
        <w:t>of June 2013</w:t>
      </w:r>
      <w:r w:rsidR="00D379AD" w:rsidRPr="00E42832">
        <w:t xml:space="preserve"> in Brussels </w:t>
      </w:r>
      <w:r w:rsidRPr="00E42832">
        <w:t>where Malta was represented by H</w:t>
      </w:r>
      <w:r w:rsidR="00E448A2" w:rsidRPr="00E42832">
        <w:t>E</w:t>
      </w:r>
      <w:r w:rsidRPr="00E42832">
        <w:t xml:space="preserve">. Ms. Marlene Bonnici the Permanent Representative </w:t>
      </w:r>
      <w:r w:rsidR="00F41A8F" w:rsidRPr="00E42832">
        <w:t xml:space="preserve">of the </w:t>
      </w:r>
      <w:smartTag w:uri="urn:schemas-microsoft-com:office:smarttags" w:element="place">
        <w:smartTag w:uri="urn:schemas-microsoft-com:office:smarttags" w:element="PlaceType">
          <w:r w:rsidR="00F41A8F" w:rsidRPr="00E42832">
            <w:t>Republic</w:t>
          </w:r>
        </w:smartTag>
        <w:r w:rsidR="00F41A8F" w:rsidRPr="00E42832">
          <w:t xml:space="preserve"> of </w:t>
        </w:r>
        <w:smartTag w:uri="urn:schemas-microsoft-com:office:smarttags" w:element="PlaceName">
          <w:r w:rsidR="00F41A8F" w:rsidRPr="00E42832">
            <w:t>Malta</w:t>
          </w:r>
        </w:smartTag>
      </w:smartTag>
      <w:r w:rsidR="00F41A8F" w:rsidRPr="00E42832">
        <w:t xml:space="preserve"> </w:t>
      </w:r>
      <w:r w:rsidRPr="00E42832">
        <w:t xml:space="preserve">to the EU. </w:t>
      </w:r>
      <w:r w:rsidR="00CD4336" w:rsidRPr="00E42832">
        <w:t xml:space="preserve">Following the signature ceremony each </w:t>
      </w:r>
      <w:smartTag w:uri="urn:schemas-microsoft-com:office:smarttags" w:element="place">
        <w:smartTag w:uri="urn:schemas-microsoft-com:office:smarttags" w:element="PlaceName">
          <w:r w:rsidR="00CD4336" w:rsidRPr="00E42832">
            <w:t>Member</w:t>
          </w:r>
        </w:smartTag>
        <w:r w:rsidR="00CD4336" w:rsidRPr="00E42832">
          <w:t> </w:t>
        </w:r>
        <w:smartTag w:uri="urn:schemas-microsoft-com:office:smarttags" w:element="PlaceType">
          <w:r w:rsidR="00CD4336" w:rsidRPr="00E42832">
            <w:t>State</w:t>
          </w:r>
        </w:smartTag>
      </w:smartTag>
      <w:r w:rsidR="00CD4336" w:rsidRPr="00E42832">
        <w:t xml:space="preserve"> shall approve this Agreement in accordance with its own constitutional requirements. The Government of each </w:t>
      </w:r>
      <w:smartTag w:uri="urn:schemas-microsoft-com:office:smarttags" w:element="place">
        <w:smartTag w:uri="urn:schemas-microsoft-com:office:smarttags" w:element="PlaceName">
          <w:r w:rsidR="00CD4336" w:rsidRPr="00E42832">
            <w:t>Member</w:t>
          </w:r>
        </w:smartTag>
        <w:r w:rsidR="00CD4336" w:rsidRPr="00E42832">
          <w:t> </w:t>
        </w:r>
        <w:smartTag w:uri="urn:schemas-microsoft-com:office:smarttags" w:element="PlaceType">
          <w:r w:rsidR="00CD4336" w:rsidRPr="00E42832">
            <w:t>State</w:t>
          </w:r>
        </w:smartTag>
      </w:smartTag>
      <w:r w:rsidR="00CD4336" w:rsidRPr="00E42832">
        <w:t xml:space="preserve"> shall notify the General Secretariat of the Council of the European Union when the procedures required for the entry into force of this Agreement have been completed. This Agreement shall enter into force on the first day of the second month following the notification of the approval of this Agreement by the last Member State.</w:t>
      </w:r>
      <w:r w:rsidR="00F51C42" w:rsidRPr="00E42832">
        <w:t xml:space="preserve"> In the 2014 Budget</w:t>
      </w:r>
      <w:r w:rsidR="00E448A2" w:rsidRPr="00E42832">
        <w:t xml:space="preserve"> document</w:t>
      </w:r>
      <w:r w:rsidR="00F51C42" w:rsidRPr="00E42832">
        <w:t>, MFIN provided to allocate the necessary amount</w:t>
      </w:r>
      <w:r w:rsidR="00E448A2" w:rsidRPr="00E42832">
        <w:t xml:space="preserve"> under Vote</w:t>
      </w:r>
      <w:r w:rsidR="004F0D0F" w:rsidRPr="00E42832">
        <w:t xml:space="preserve"> 13 to </w:t>
      </w:r>
      <w:r w:rsidR="00E448A2" w:rsidRPr="00E42832">
        <w:t>MFA</w:t>
      </w:r>
      <w:r w:rsidR="00F51C42" w:rsidRPr="00E42832">
        <w:t xml:space="preserve"> totalling €943,292.63 for the 2014 EDF contribution and was subsequently approved by Parliament.  </w:t>
      </w:r>
    </w:p>
    <w:p w:rsidR="00EA3E04" w:rsidRPr="00E42832" w:rsidRDefault="00EA3E04" w:rsidP="006314CA">
      <w:pPr>
        <w:tabs>
          <w:tab w:val="left" w:pos="709"/>
        </w:tabs>
        <w:ind w:right="-330"/>
        <w:jc w:val="both"/>
      </w:pPr>
    </w:p>
    <w:p w:rsidR="00EA3E04" w:rsidRDefault="000962C3" w:rsidP="006314CA">
      <w:pPr>
        <w:numPr>
          <w:ilvl w:val="0"/>
          <w:numId w:val="2"/>
        </w:numPr>
        <w:tabs>
          <w:tab w:val="left" w:pos="0"/>
        </w:tabs>
        <w:ind w:left="-284" w:right="-330" w:firstLine="0"/>
        <w:jc w:val="both"/>
        <w:rPr>
          <w:b/>
        </w:rPr>
      </w:pPr>
      <w:r>
        <w:rPr>
          <w:b/>
        </w:rPr>
        <w:t xml:space="preserve">   </w:t>
      </w:r>
      <w:r w:rsidR="008D43DD">
        <w:rPr>
          <w:b/>
        </w:rPr>
        <w:t>Recommendation</w:t>
      </w:r>
    </w:p>
    <w:p w:rsidR="008D43DD" w:rsidRPr="00E42832" w:rsidRDefault="008D43DD" w:rsidP="008D43DD">
      <w:pPr>
        <w:tabs>
          <w:tab w:val="left" w:pos="0"/>
        </w:tabs>
        <w:ind w:right="-330"/>
        <w:jc w:val="both"/>
        <w:rPr>
          <w:b/>
        </w:rPr>
      </w:pPr>
    </w:p>
    <w:p w:rsidR="008D43DD" w:rsidRDefault="008D43DD" w:rsidP="00FC79B9">
      <w:pPr>
        <w:spacing w:after="120"/>
        <w:ind w:left="-284"/>
        <w:jc w:val="both"/>
      </w:pPr>
      <w:r w:rsidRPr="007548EE">
        <w:t xml:space="preserve">Following consultations with the Office of the Attorney General, it is my Ministry’s understanding that with regard to </w:t>
      </w:r>
      <w:r w:rsidRPr="007548EE">
        <w:rPr>
          <w:b/>
        </w:rPr>
        <w:t>treaties and international conventions which Malta may accede to as Member State of the European Union, and treaties and international conventions which Malta is bound to ratify in its own name or on behalf of the European Community by virtue of its membership within the European Union</w:t>
      </w:r>
      <w:r w:rsidRPr="007548EE">
        <w:t>, then by Article 4(2)(b) of CAP.460 these shall come into force one month following their being submitted in order to be discussed by the Standing Committee on Foreign and European Affairs (or any such Standing Committee from time to time substituting the same).</w:t>
      </w:r>
    </w:p>
    <w:p w:rsidR="008D43DD" w:rsidRDefault="008D43DD" w:rsidP="00FC79B9">
      <w:pPr>
        <w:spacing w:after="120"/>
        <w:ind w:left="-284"/>
        <w:jc w:val="both"/>
      </w:pPr>
      <w:r>
        <w:t>Considering that reference is made solely to the treaty or international convention in question “com[ing] into force one month following their being submitted in order to be discussed by the Standing Committee on Foreign and European Affairs”, it can be taken that the referral to the Standing Committee for discussion may take place either before or after a cabinet decision to ratify has been taken.</w:t>
      </w:r>
    </w:p>
    <w:p w:rsidR="00602447" w:rsidRPr="00FC79B9" w:rsidRDefault="008D43DD" w:rsidP="00FC79B9">
      <w:pPr>
        <w:spacing w:after="120"/>
        <w:ind w:left="-284"/>
        <w:jc w:val="both"/>
      </w:pPr>
      <w:r>
        <w:t xml:space="preserve">Accordingly, this matter is being referred to Cabinet, following which it is suggested that </w:t>
      </w:r>
      <w:r w:rsidR="008208B1">
        <w:t>ratification of the 11</w:t>
      </w:r>
      <w:r w:rsidR="008208B1" w:rsidRPr="008208B1">
        <w:rPr>
          <w:vertAlign w:val="superscript"/>
        </w:rPr>
        <w:t>th</w:t>
      </w:r>
      <w:r w:rsidR="008208B1">
        <w:t xml:space="preserve"> EDF Internal </w:t>
      </w:r>
      <w:r w:rsidR="005364F7">
        <w:t>Agreement</w:t>
      </w:r>
      <w:r>
        <w:t xml:space="preserve"> should be discussed for information purposes with the Standing Committee on Foreign and European Affairs along the lines of Article 4(2)(b) of the European Union Act.</w:t>
      </w:r>
      <w:r w:rsidR="00602447" w:rsidRPr="0002288C">
        <w:rPr>
          <w:color w:val="000000"/>
        </w:rPr>
        <w:t xml:space="preserve"> </w:t>
      </w:r>
    </w:p>
    <w:p w:rsidR="00FC79B9" w:rsidRPr="00E42832" w:rsidRDefault="00FC79B9" w:rsidP="00F81B04">
      <w:pPr>
        <w:tabs>
          <w:tab w:val="left" w:pos="709"/>
        </w:tabs>
        <w:ind w:left="-284" w:right="-330"/>
        <w:jc w:val="both"/>
      </w:pPr>
    </w:p>
    <w:p w:rsidR="008B0AFC" w:rsidRDefault="008D43DD" w:rsidP="00264B44">
      <w:pPr>
        <w:tabs>
          <w:tab w:val="left" w:pos="709"/>
        </w:tabs>
        <w:ind w:right="-330"/>
        <w:jc w:val="both"/>
      </w:pPr>
      <w:r>
        <w:t xml:space="preserve">                                                                                                             _______________________</w:t>
      </w:r>
    </w:p>
    <w:p w:rsidR="00602447" w:rsidRPr="00E42832" w:rsidRDefault="00264B44" w:rsidP="008D43DD">
      <w:pPr>
        <w:tabs>
          <w:tab w:val="left" w:pos="709"/>
        </w:tabs>
        <w:ind w:left="-284" w:right="-330"/>
        <w:jc w:val="right"/>
      </w:pPr>
      <w:r>
        <w:t xml:space="preserve">Hon. Dr. </w:t>
      </w:r>
      <w:r w:rsidR="00602447" w:rsidRPr="00E42832">
        <w:t>George W. Vella</w:t>
      </w:r>
    </w:p>
    <w:p w:rsidR="00602447" w:rsidRPr="00EA3E04" w:rsidRDefault="00602447" w:rsidP="008D43DD">
      <w:pPr>
        <w:tabs>
          <w:tab w:val="left" w:pos="709"/>
        </w:tabs>
        <w:ind w:left="-284" w:right="-330"/>
        <w:jc w:val="right"/>
      </w:pPr>
      <w:r w:rsidRPr="00E42832">
        <w:t xml:space="preserve">Minister </w:t>
      </w:r>
      <w:r w:rsidR="000427A3" w:rsidRPr="00E42832">
        <w:t>f</w:t>
      </w:r>
      <w:r w:rsidRPr="00E42832">
        <w:t>or Foreign Affairs</w:t>
      </w:r>
    </w:p>
    <w:sectPr w:rsidR="00602447" w:rsidRPr="00EA3E04" w:rsidSect="00FC79B9">
      <w:footerReference w:type="default" r:id="rId10"/>
      <w:pgSz w:w="11906" w:h="16838" w:code="9"/>
      <w:pgMar w:top="851" w:right="1440" w:bottom="851" w:left="1440"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EA" w:rsidRDefault="002164EA">
      <w:r>
        <w:separator/>
      </w:r>
    </w:p>
  </w:endnote>
  <w:endnote w:type="continuationSeparator" w:id="0">
    <w:p w:rsidR="002164EA" w:rsidRDefault="00216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1C2" w:rsidRDefault="00D41D3B">
    <w:pPr>
      <w:pStyle w:val="Footer"/>
      <w:jc w:val="right"/>
    </w:pPr>
    <w:fldSimple w:instr=" PAGE   \* MERGEFORMAT ">
      <w:r w:rsidR="00F9480D">
        <w:rPr>
          <w:noProof/>
        </w:rPr>
        <w:t>1</w:t>
      </w:r>
    </w:fldSimple>
  </w:p>
  <w:p w:rsidR="00D341C2" w:rsidRDefault="00D34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EA" w:rsidRDefault="002164EA">
      <w:r>
        <w:separator/>
      </w:r>
    </w:p>
  </w:footnote>
  <w:footnote w:type="continuationSeparator" w:id="0">
    <w:p w:rsidR="002164EA" w:rsidRDefault="002164EA">
      <w:r>
        <w:continuationSeparator/>
      </w:r>
    </w:p>
  </w:footnote>
  <w:footnote w:id="1">
    <w:p w:rsidR="00D341C2" w:rsidRPr="005A081A" w:rsidRDefault="00D341C2" w:rsidP="00264B44">
      <w:pPr>
        <w:jc w:val="both"/>
        <w:rPr>
          <w:b/>
        </w:rPr>
      </w:pPr>
      <w:r>
        <w:rPr>
          <w:rStyle w:val="FootnoteReference"/>
        </w:rPr>
        <w:footnoteRef/>
      </w:r>
      <w:r>
        <w:t xml:space="preserve"> </w:t>
      </w:r>
      <w:r w:rsidRPr="005A081A">
        <w:rPr>
          <w:sz w:val="20"/>
          <w:szCs w:val="20"/>
        </w:rPr>
        <w:t>‘</w:t>
      </w:r>
      <w:r w:rsidRPr="00A75E45">
        <w:rPr>
          <w:sz w:val="16"/>
          <w:szCs w:val="16"/>
        </w:rPr>
        <w:t>Internal Agreement between the representatives of the governments of the Member States of the European Union meeting within the council on the financing of the European union aid under the Multi Annual Financial framework for the period 2014 to 2020 in accordance with the ACP-EU Partnership Agreement and on the allocation of financial assistance for the Overseas Countries and territories to which part four of the Treaty on the Functioning of the European Union applies.’</w:t>
      </w:r>
      <w:r w:rsidRPr="005A081A">
        <w:rPr>
          <w:i/>
          <w:sz w:val="20"/>
          <w:szCs w:val="20"/>
        </w:rPr>
        <w:t xml:space="preserve"> </w:t>
      </w:r>
    </w:p>
    <w:p w:rsidR="00D341C2" w:rsidRDefault="00D341C2">
      <w:pPr>
        <w:pStyle w:val="FootnoteText"/>
      </w:pPr>
    </w:p>
  </w:footnote>
  <w:footnote w:id="2">
    <w:p w:rsidR="00D341C2" w:rsidRDefault="00D341C2">
      <w:pPr>
        <w:pStyle w:val="FootnoteText"/>
      </w:pPr>
      <w:r>
        <w:rPr>
          <w:rStyle w:val="FootnoteReference"/>
        </w:rPr>
        <w:footnoteRef/>
      </w:r>
      <w:r>
        <w:t xml:space="preserve"> Council of the EU, Draft Internal Agreement, 12</w:t>
      </w:r>
      <w:r w:rsidRPr="00264B44">
        <w:rPr>
          <w:vertAlign w:val="superscript"/>
        </w:rPr>
        <w:t>th</w:t>
      </w:r>
      <w:r>
        <w:t xml:space="preserve"> April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7ADE"/>
    <w:multiLevelType w:val="hybridMultilevel"/>
    <w:tmpl w:val="32EE5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C82381"/>
    <w:multiLevelType w:val="hybridMultilevel"/>
    <w:tmpl w:val="957AF678"/>
    <w:lvl w:ilvl="0" w:tplc="F020BA2E">
      <w:start w:val="1"/>
      <w:numFmt w:val="decimal"/>
      <w:lvlText w:val="%1."/>
      <w:lvlJc w:val="left"/>
      <w:pPr>
        <w:tabs>
          <w:tab w:val="num" w:pos="720"/>
        </w:tabs>
        <w:ind w:left="720" w:hanging="360"/>
      </w:pPr>
      <w:rPr>
        <w:rFonts w:hint="default"/>
        <w: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83A690A"/>
    <w:multiLevelType w:val="hybridMultilevel"/>
    <w:tmpl w:val="7808526E"/>
    <w:lvl w:ilvl="0" w:tplc="A550916E">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168A0"/>
    <w:rsid w:val="000112E8"/>
    <w:rsid w:val="0002288C"/>
    <w:rsid w:val="00024BCD"/>
    <w:rsid w:val="00030885"/>
    <w:rsid w:val="000368E3"/>
    <w:rsid w:val="00040A75"/>
    <w:rsid w:val="000427A3"/>
    <w:rsid w:val="00054D11"/>
    <w:rsid w:val="000554AC"/>
    <w:rsid w:val="00066760"/>
    <w:rsid w:val="000713D2"/>
    <w:rsid w:val="000844CE"/>
    <w:rsid w:val="000962C3"/>
    <w:rsid w:val="000C2B01"/>
    <w:rsid w:val="000D5A23"/>
    <w:rsid w:val="000E2E39"/>
    <w:rsid w:val="000F342E"/>
    <w:rsid w:val="00110E03"/>
    <w:rsid w:val="00121DFA"/>
    <w:rsid w:val="0012339B"/>
    <w:rsid w:val="001376FA"/>
    <w:rsid w:val="00142598"/>
    <w:rsid w:val="00144538"/>
    <w:rsid w:val="00147937"/>
    <w:rsid w:val="001542F0"/>
    <w:rsid w:val="00161A28"/>
    <w:rsid w:val="001641B0"/>
    <w:rsid w:val="0017103C"/>
    <w:rsid w:val="00172C98"/>
    <w:rsid w:val="0018584A"/>
    <w:rsid w:val="00187F09"/>
    <w:rsid w:val="001969B5"/>
    <w:rsid w:val="00196F9A"/>
    <w:rsid w:val="001B5A3B"/>
    <w:rsid w:val="001B60E2"/>
    <w:rsid w:val="001E085F"/>
    <w:rsid w:val="001E5780"/>
    <w:rsid w:val="001F7EE6"/>
    <w:rsid w:val="00206ECB"/>
    <w:rsid w:val="0021082A"/>
    <w:rsid w:val="002119C1"/>
    <w:rsid w:val="00213D4A"/>
    <w:rsid w:val="002164EA"/>
    <w:rsid w:val="00237DEB"/>
    <w:rsid w:val="00240E4E"/>
    <w:rsid w:val="00242482"/>
    <w:rsid w:val="002562AE"/>
    <w:rsid w:val="00257B2C"/>
    <w:rsid w:val="00264A3A"/>
    <w:rsid w:val="00264B44"/>
    <w:rsid w:val="0027752C"/>
    <w:rsid w:val="00283632"/>
    <w:rsid w:val="002932B3"/>
    <w:rsid w:val="002A1499"/>
    <w:rsid w:val="002A34AC"/>
    <w:rsid w:val="002A5734"/>
    <w:rsid w:val="002C436E"/>
    <w:rsid w:val="002D26CE"/>
    <w:rsid w:val="002D7554"/>
    <w:rsid w:val="002E1F7C"/>
    <w:rsid w:val="002E7757"/>
    <w:rsid w:val="002F45E6"/>
    <w:rsid w:val="002F5FA5"/>
    <w:rsid w:val="00313898"/>
    <w:rsid w:val="003168A0"/>
    <w:rsid w:val="00316D79"/>
    <w:rsid w:val="003211EB"/>
    <w:rsid w:val="0032507F"/>
    <w:rsid w:val="00343B1D"/>
    <w:rsid w:val="00346714"/>
    <w:rsid w:val="003605F6"/>
    <w:rsid w:val="003B190E"/>
    <w:rsid w:val="003B47AA"/>
    <w:rsid w:val="003B497E"/>
    <w:rsid w:val="003C073A"/>
    <w:rsid w:val="003D5DEC"/>
    <w:rsid w:val="003D71F7"/>
    <w:rsid w:val="003E1333"/>
    <w:rsid w:val="00400A53"/>
    <w:rsid w:val="0040423C"/>
    <w:rsid w:val="004056CB"/>
    <w:rsid w:val="0041778D"/>
    <w:rsid w:val="00417AF6"/>
    <w:rsid w:val="0042126C"/>
    <w:rsid w:val="00440612"/>
    <w:rsid w:val="0044244C"/>
    <w:rsid w:val="00445048"/>
    <w:rsid w:val="0045303B"/>
    <w:rsid w:val="004554C3"/>
    <w:rsid w:val="0045694E"/>
    <w:rsid w:val="00480912"/>
    <w:rsid w:val="00491FB3"/>
    <w:rsid w:val="004A6C1C"/>
    <w:rsid w:val="004A79FE"/>
    <w:rsid w:val="004B1503"/>
    <w:rsid w:val="004B7526"/>
    <w:rsid w:val="004C1171"/>
    <w:rsid w:val="004D0542"/>
    <w:rsid w:val="004D2184"/>
    <w:rsid w:val="004D3DED"/>
    <w:rsid w:val="004F0D0F"/>
    <w:rsid w:val="00500D6D"/>
    <w:rsid w:val="005037C1"/>
    <w:rsid w:val="00504E73"/>
    <w:rsid w:val="00515514"/>
    <w:rsid w:val="00524ADD"/>
    <w:rsid w:val="00524AFC"/>
    <w:rsid w:val="0053237B"/>
    <w:rsid w:val="005364F7"/>
    <w:rsid w:val="005531E9"/>
    <w:rsid w:val="005548AE"/>
    <w:rsid w:val="00556B3F"/>
    <w:rsid w:val="00565C2A"/>
    <w:rsid w:val="0057567E"/>
    <w:rsid w:val="00583FAC"/>
    <w:rsid w:val="00597109"/>
    <w:rsid w:val="005A081A"/>
    <w:rsid w:val="005A2CD9"/>
    <w:rsid w:val="005B13A0"/>
    <w:rsid w:val="005C473D"/>
    <w:rsid w:val="005C7675"/>
    <w:rsid w:val="005D4781"/>
    <w:rsid w:val="005E0D98"/>
    <w:rsid w:val="005F361E"/>
    <w:rsid w:val="006004F7"/>
    <w:rsid w:val="00602447"/>
    <w:rsid w:val="00602ECC"/>
    <w:rsid w:val="00605776"/>
    <w:rsid w:val="00614D38"/>
    <w:rsid w:val="006314CA"/>
    <w:rsid w:val="0065244F"/>
    <w:rsid w:val="00660206"/>
    <w:rsid w:val="00663695"/>
    <w:rsid w:val="006651DC"/>
    <w:rsid w:val="00672EC8"/>
    <w:rsid w:val="00673669"/>
    <w:rsid w:val="006760AF"/>
    <w:rsid w:val="00685504"/>
    <w:rsid w:val="006960F3"/>
    <w:rsid w:val="0069682D"/>
    <w:rsid w:val="006A19B8"/>
    <w:rsid w:val="006A477E"/>
    <w:rsid w:val="006C74F4"/>
    <w:rsid w:val="006C7FF3"/>
    <w:rsid w:val="006D2746"/>
    <w:rsid w:val="006D4A25"/>
    <w:rsid w:val="006F6B9F"/>
    <w:rsid w:val="0070732E"/>
    <w:rsid w:val="00723143"/>
    <w:rsid w:val="007246B7"/>
    <w:rsid w:val="0072599E"/>
    <w:rsid w:val="00725E82"/>
    <w:rsid w:val="0074010D"/>
    <w:rsid w:val="00743E78"/>
    <w:rsid w:val="00751A72"/>
    <w:rsid w:val="007605A4"/>
    <w:rsid w:val="007615C7"/>
    <w:rsid w:val="00762D9A"/>
    <w:rsid w:val="00766A94"/>
    <w:rsid w:val="00770585"/>
    <w:rsid w:val="00772C4C"/>
    <w:rsid w:val="007A33D2"/>
    <w:rsid w:val="007A5B94"/>
    <w:rsid w:val="007B108C"/>
    <w:rsid w:val="007B37A8"/>
    <w:rsid w:val="007C23F0"/>
    <w:rsid w:val="007D085C"/>
    <w:rsid w:val="007D7CA6"/>
    <w:rsid w:val="007F0B6D"/>
    <w:rsid w:val="007F1771"/>
    <w:rsid w:val="007F6252"/>
    <w:rsid w:val="008009DA"/>
    <w:rsid w:val="008029D0"/>
    <w:rsid w:val="00814393"/>
    <w:rsid w:val="008208B1"/>
    <w:rsid w:val="00823110"/>
    <w:rsid w:val="00824671"/>
    <w:rsid w:val="00830BB8"/>
    <w:rsid w:val="00830E33"/>
    <w:rsid w:val="00831798"/>
    <w:rsid w:val="00833987"/>
    <w:rsid w:val="008341E5"/>
    <w:rsid w:val="00835226"/>
    <w:rsid w:val="008501C1"/>
    <w:rsid w:val="00851E6B"/>
    <w:rsid w:val="008760F5"/>
    <w:rsid w:val="0088231E"/>
    <w:rsid w:val="00891D3D"/>
    <w:rsid w:val="00892BD5"/>
    <w:rsid w:val="008977E5"/>
    <w:rsid w:val="008B0AFC"/>
    <w:rsid w:val="008C0873"/>
    <w:rsid w:val="008C4D16"/>
    <w:rsid w:val="008D43DD"/>
    <w:rsid w:val="008E4209"/>
    <w:rsid w:val="008E5827"/>
    <w:rsid w:val="008E72C3"/>
    <w:rsid w:val="008F7882"/>
    <w:rsid w:val="00900413"/>
    <w:rsid w:val="00903632"/>
    <w:rsid w:val="00907749"/>
    <w:rsid w:val="00913279"/>
    <w:rsid w:val="00915E1A"/>
    <w:rsid w:val="009172D7"/>
    <w:rsid w:val="00923E1E"/>
    <w:rsid w:val="009273BD"/>
    <w:rsid w:val="009366DC"/>
    <w:rsid w:val="0094649C"/>
    <w:rsid w:val="00951F99"/>
    <w:rsid w:val="00952119"/>
    <w:rsid w:val="00960CC3"/>
    <w:rsid w:val="00961C15"/>
    <w:rsid w:val="00965C31"/>
    <w:rsid w:val="00967848"/>
    <w:rsid w:val="00980694"/>
    <w:rsid w:val="00982A23"/>
    <w:rsid w:val="00992740"/>
    <w:rsid w:val="009A79B8"/>
    <w:rsid w:val="009A7C30"/>
    <w:rsid w:val="009A7FD3"/>
    <w:rsid w:val="009B60DE"/>
    <w:rsid w:val="009D5022"/>
    <w:rsid w:val="009D6CA7"/>
    <w:rsid w:val="009F4BD2"/>
    <w:rsid w:val="00A04040"/>
    <w:rsid w:val="00A12F04"/>
    <w:rsid w:val="00A23CDA"/>
    <w:rsid w:val="00A30D93"/>
    <w:rsid w:val="00A31763"/>
    <w:rsid w:val="00A33A14"/>
    <w:rsid w:val="00A43FD7"/>
    <w:rsid w:val="00A60270"/>
    <w:rsid w:val="00A61A43"/>
    <w:rsid w:val="00A67D7B"/>
    <w:rsid w:val="00A741DB"/>
    <w:rsid w:val="00A75E45"/>
    <w:rsid w:val="00A75F87"/>
    <w:rsid w:val="00A8161B"/>
    <w:rsid w:val="00A82041"/>
    <w:rsid w:val="00AA31B5"/>
    <w:rsid w:val="00AA6564"/>
    <w:rsid w:val="00AB01AD"/>
    <w:rsid w:val="00AB0E1F"/>
    <w:rsid w:val="00AC4846"/>
    <w:rsid w:val="00AD0048"/>
    <w:rsid w:val="00AE5136"/>
    <w:rsid w:val="00AF07F6"/>
    <w:rsid w:val="00B031CE"/>
    <w:rsid w:val="00B223EB"/>
    <w:rsid w:val="00B60F06"/>
    <w:rsid w:val="00B61CE4"/>
    <w:rsid w:val="00B71BE4"/>
    <w:rsid w:val="00B72204"/>
    <w:rsid w:val="00B73DF3"/>
    <w:rsid w:val="00B835F2"/>
    <w:rsid w:val="00B9215B"/>
    <w:rsid w:val="00BB34C1"/>
    <w:rsid w:val="00BB361A"/>
    <w:rsid w:val="00BB4B8E"/>
    <w:rsid w:val="00BC48C6"/>
    <w:rsid w:val="00BC5121"/>
    <w:rsid w:val="00BC6B87"/>
    <w:rsid w:val="00BE56EE"/>
    <w:rsid w:val="00BF0E7E"/>
    <w:rsid w:val="00C1226C"/>
    <w:rsid w:val="00C26A1B"/>
    <w:rsid w:val="00C336E5"/>
    <w:rsid w:val="00C35E42"/>
    <w:rsid w:val="00C4242D"/>
    <w:rsid w:val="00C42984"/>
    <w:rsid w:val="00C4685C"/>
    <w:rsid w:val="00C503B3"/>
    <w:rsid w:val="00C50C22"/>
    <w:rsid w:val="00C61B84"/>
    <w:rsid w:val="00C63411"/>
    <w:rsid w:val="00C6461C"/>
    <w:rsid w:val="00C9214C"/>
    <w:rsid w:val="00C9265A"/>
    <w:rsid w:val="00C9382A"/>
    <w:rsid w:val="00C96D4B"/>
    <w:rsid w:val="00CB1030"/>
    <w:rsid w:val="00CB38D4"/>
    <w:rsid w:val="00CC3CF1"/>
    <w:rsid w:val="00CC41A2"/>
    <w:rsid w:val="00CD4336"/>
    <w:rsid w:val="00CD6E6D"/>
    <w:rsid w:val="00CE3D32"/>
    <w:rsid w:val="00CF0539"/>
    <w:rsid w:val="00CF3A13"/>
    <w:rsid w:val="00D02597"/>
    <w:rsid w:val="00D07D13"/>
    <w:rsid w:val="00D20FB3"/>
    <w:rsid w:val="00D309B9"/>
    <w:rsid w:val="00D32258"/>
    <w:rsid w:val="00D32582"/>
    <w:rsid w:val="00D338D4"/>
    <w:rsid w:val="00D341C2"/>
    <w:rsid w:val="00D379AD"/>
    <w:rsid w:val="00D41D3B"/>
    <w:rsid w:val="00D41E0C"/>
    <w:rsid w:val="00D42305"/>
    <w:rsid w:val="00D47CE1"/>
    <w:rsid w:val="00D52D75"/>
    <w:rsid w:val="00D7788B"/>
    <w:rsid w:val="00D87406"/>
    <w:rsid w:val="00D97E8C"/>
    <w:rsid w:val="00DA2BA8"/>
    <w:rsid w:val="00DB05DA"/>
    <w:rsid w:val="00DB6AC1"/>
    <w:rsid w:val="00DB74AB"/>
    <w:rsid w:val="00DC5D86"/>
    <w:rsid w:val="00DC6FFA"/>
    <w:rsid w:val="00DC722E"/>
    <w:rsid w:val="00DD1266"/>
    <w:rsid w:val="00DD3560"/>
    <w:rsid w:val="00DD660D"/>
    <w:rsid w:val="00DE0816"/>
    <w:rsid w:val="00E0574D"/>
    <w:rsid w:val="00E05CC6"/>
    <w:rsid w:val="00E10EF0"/>
    <w:rsid w:val="00E110BD"/>
    <w:rsid w:val="00E24F5F"/>
    <w:rsid w:val="00E42832"/>
    <w:rsid w:val="00E448A2"/>
    <w:rsid w:val="00E600C2"/>
    <w:rsid w:val="00E657DA"/>
    <w:rsid w:val="00E67759"/>
    <w:rsid w:val="00E750E9"/>
    <w:rsid w:val="00E91832"/>
    <w:rsid w:val="00E9309D"/>
    <w:rsid w:val="00EA3E04"/>
    <w:rsid w:val="00EA75DF"/>
    <w:rsid w:val="00EB059E"/>
    <w:rsid w:val="00EC1F0F"/>
    <w:rsid w:val="00EC3FFB"/>
    <w:rsid w:val="00ED3B6D"/>
    <w:rsid w:val="00ED4258"/>
    <w:rsid w:val="00EE2300"/>
    <w:rsid w:val="00EE793E"/>
    <w:rsid w:val="00EF364D"/>
    <w:rsid w:val="00EF4DF5"/>
    <w:rsid w:val="00EF6989"/>
    <w:rsid w:val="00F011F7"/>
    <w:rsid w:val="00F01577"/>
    <w:rsid w:val="00F1140E"/>
    <w:rsid w:val="00F24860"/>
    <w:rsid w:val="00F25351"/>
    <w:rsid w:val="00F35D03"/>
    <w:rsid w:val="00F41A8F"/>
    <w:rsid w:val="00F47E6D"/>
    <w:rsid w:val="00F51C42"/>
    <w:rsid w:val="00F56287"/>
    <w:rsid w:val="00F63B82"/>
    <w:rsid w:val="00F6511D"/>
    <w:rsid w:val="00F66BC6"/>
    <w:rsid w:val="00F672C8"/>
    <w:rsid w:val="00F74152"/>
    <w:rsid w:val="00F804B8"/>
    <w:rsid w:val="00F80926"/>
    <w:rsid w:val="00F81B04"/>
    <w:rsid w:val="00F828FB"/>
    <w:rsid w:val="00F9480D"/>
    <w:rsid w:val="00FA2F7C"/>
    <w:rsid w:val="00FA6DE4"/>
    <w:rsid w:val="00FA7893"/>
    <w:rsid w:val="00FB1EF5"/>
    <w:rsid w:val="00FB38C7"/>
    <w:rsid w:val="00FB5F90"/>
    <w:rsid w:val="00FB7958"/>
    <w:rsid w:val="00FC5B1E"/>
    <w:rsid w:val="00FC79B9"/>
    <w:rsid w:val="00FD492F"/>
    <w:rsid w:val="00FD4F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D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584A"/>
    <w:rPr>
      <w:sz w:val="20"/>
      <w:szCs w:val="20"/>
    </w:rPr>
  </w:style>
  <w:style w:type="character" w:styleId="FootnoteReference">
    <w:name w:val="footnote reference"/>
    <w:basedOn w:val="DefaultParagraphFont"/>
    <w:semiHidden/>
    <w:rsid w:val="0018584A"/>
    <w:rPr>
      <w:vertAlign w:val="superscript"/>
    </w:rPr>
  </w:style>
  <w:style w:type="paragraph" w:styleId="NormalWeb">
    <w:name w:val="Normal (Web)"/>
    <w:basedOn w:val="Normal"/>
    <w:rsid w:val="0018584A"/>
    <w:pPr>
      <w:spacing w:before="100" w:beforeAutospacing="1" w:after="100" w:afterAutospacing="1"/>
    </w:pPr>
  </w:style>
  <w:style w:type="paragraph" w:styleId="Header">
    <w:name w:val="header"/>
    <w:basedOn w:val="Normal"/>
    <w:link w:val="HeaderChar"/>
    <w:rsid w:val="00EA3E04"/>
    <w:pPr>
      <w:tabs>
        <w:tab w:val="center" w:pos="4513"/>
        <w:tab w:val="right" w:pos="9026"/>
      </w:tabs>
    </w:pPr>
  </w:style>
  <w:style w:type="character" w:customStyle="1" w:styleId="HeaderChar">
    <w:name w:val="Header Char"/>
    <w:basedOn w:val="DefaultParagraphFont"/>
    <w:link w:val="Header"/>
    <w:rsid w:val="00EA3E04"/>
    <w:rPr>
      <w:sz w:val="24"/>
      <w:szCs w:val="24"/>
    </w:rPr>
  </w:style>
  <w:style w:type="paragraph" w:styleId="Footer">
    <w:name w:val="footer"/>
    <w:basedOn w:val="Normal"/>
    <w:link w:val="FooterChar"/>
    <w:uiPriority w:val="99"/>
    <w:rsid w:val="00EA3E04"/>
    <w:pPr>
      <w:tabs>
        <w:tab w:val="center" w:pos="4513"/>
        <w:tab w:val="right" w:pos="9026"/>
      </w:tabs>
    </w:pPr>
  </w:style>
  <w:style w:type="character" w:customStyle="1" w:styleId="FooterChar">
    <w:name w:val="Footer Char"/>
    <w:basedOn w:val="DefaultParagraphFont"/>
    <w:link w:val="Footer"/>
    <w:uiPriority w:val="99"/>
    <w:rsid w:val="00EA3E04"/>
    <w:rPr>
      <w:sz w:val="24"/>
      <w:szCs w:val="24"/>
    </w:rPr>
  </w:style>
  <w:style w:type="paragraph" w:styleId="EndnoteText">
    <w:name w:val="endnote text"/>
    <w:basedOn w:val="Normal"/>
    <w:link w:val="EndnoteTextChar"/>
    <w:rsid w:val="00DB6AC1"/>
    <w:rPr>
      <w:sz w:val="20"/>
      <w:szCs w:val="20"/>
    </w:rPr>
  </w:style>
  <w:style w:type="character" w:customStyle="1" w:styleId="EndnoteTextChar">
    <w:name w:val="Endnote Text Char"/>
    <w:basedOn w:val="DefaultParagraphFont"/>
    <w:link w:val="EndnoteText"/>
    <w:rsid w:val="00DB6AC1"/>
  </w:style>
  <w:style w:type="character" w:styleId="EndnoteReference">
    <w:name w:val="endnote reference"/>
    <w:basedOn w:val="DefaultParagraphFont"/>
    <w:rsid w:val="00DB6AC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2B6D6-49AB-45FF-91E9-C323462E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5519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MEMO</vt:lpstr>
    </vt:vector>
  </TitlesOfParts>
  <Company>Government of Malta</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Government of Malta</dc:creator>
  <cp:lastModifiedBy>Gov_User</cp:lastModifiedBy>
  <cp:revision>2</cp:revision>
  <cp:lastPrinted>2014-01-29T07:46:00Z</cp:lastPrinted>
  <dcterms:created xsi:type="dcterms:W3CDTF">2014-04-22T14:52:00Z</dcterms:created>
  <dcterms:modified xsi:type="dcterms:W3CDTF">2014-04-22T14:52:00Z</dcterms:modified>
</cp:coreProperties>
</file>