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56D" w:rsidRPr="00222B7C" w:rsidRDefault="001E296F">
      <w:pPr>
        <w:pStyle w:val="Date"/>
        <w:spacing w:before="400"/>
        <w:rPr>
          <w:rFonts w:ascii="Times New Roman" w:hAnsi="Times New Roman"/>
          <w:sz w:val="22"/>
          <w:szCs w:val="22"/>
        </w:rPr>
      </w:pPr>
      <w:r>
        <w:rPr>
          <w:rFonts w:ascii="Times New Roman" w:hAnsi="Times New Roman"/>
          <w:noProof/>
          <w:sz w:val="22"/>
          <w:szCs w:val="22"/>
          <w:lang w:eastAsia="en-GB"/>
        </w:rPr>
        <w:drawing>
          <wp:anchor distT="0" distB="0" distL="114300" distR="114300" simplePos="0" relativeHeight="251657216" behindDoc="0" locked="0" layoutInCell="1" allowOverlap="1">
            <wp:simplePos x="0" y="0"/>
            <wp:positionH relativeFrom="column">
              <wp:posOffset>1270</wp:posOffset>
            </wp:positionH>
            <wp:positionV relativeFrom="paragraph">
              <wp:posOffset>40640</wp:posOffset>
            </wp:positionV>
            <wp:extent cx="591185" cy="791210"/>
            <wp:effectExtent l="1905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srcRect/>
                    <a:stretch>
                      <a:fillRect/>
                    </a:stretch>
                  </pic:blipFill>
                  <pic:spPr bwMode="auto">
                    <a:xfrm>
                      <a:off x="0" y="0"/>
                      <a:ext cx="591185" cy="791210"/>
                    </a:xfrm>
                    <a:prstGeom prst="rect">
                      <a:avLst/>
                    </a:prstGeom>
                    <a:noFill/>
                  </pic:spPr>
                </pic:pic>
              </a:graphicData>
            </a:graphic>
          </wp:anchor>
        </w:drawing>
      </w:r>
      <w:r w:rsidR="002F756D" w:rsidRPr="00222B7C">
        <w:rPr>
          <w:rFonts w:ascii="Times New Roman" w:hAnsi="Times New Roman"/>
          <w:sz w:val="22"/>
          <w:szCs w:val="22"/>
        </w:rPr>
        <w:t>+</w:t>
      </w:r>
      <w:r w:rsidR="002F756D" w:rsidRPr="00222B7C">
        <w:rPr>
          <w:rFonts w:ascii="Times New Roman" w:hAnsi="Times New Roman"/>
          <w:sz w:val="22"/>
          <w:szCs w:val="22"/>
        </w:rPr>
        <w:tab/>
      </w:r>
    </w:p>
    <w:p w:rsidR="002F756D" w:rsidRPr="00222B7C" w:rsidRDefault="002F756D">
      <w:pPr>
        <w:pStyle w:val="Heading5"/>
        <w:widowControl/>
        <w:rPr>
          <w:rFonts w:ascii="Times New Roman" w:hAnsi="Times New Roman"/>
          <w:sz w:val="22"/>
          <w:szCs w:val="22"/>
        </w:rPr>
      </w:pPr>
    </w:p>
    <w:p w:rsidR="002F756D" w:rsidRPr="00222B7C" w:rsidRDefault="00364ADD" w:rsidP="00351C87">
      <w:pPr>
        <w:pStyle w:val="Heading5"/>
        <w:jc w:val="both"/>
      </w:pPr>
      <w:r w:rsidRPr="00222B7C">
        <w:t>MEMORANDUM FOR A PROPOSAL FOR A REGULATION OF THE EUROPEAN PARLIAMENT AND OF THE COUNCIL ON THE MONITORING, REPORTING AND VERIFICATION OF CARBON DIOXIDE EMISSIONS FROM MARI</w:t>
      </w:r>
      <w:r w:rsidR="00C71652" w:rsidRPr="00222B7C">
        <w:t xml:space="preserve">TIME </w:t>
      </w:r>
      <w:r w:rsidRPr="00222B7C">
        <w:t>TRANSPORT AND AMEDING REGULATION (EU) N</w:t>
      </w:r>
      <w:r w:rsidR="00C71652" w:rsidRPr="00222B7C">
        <w:t>0</w:t>
      </w:r>
      <w:r w:rsidRPr="00222B7C">
        <w:t xml:space="preserve"> 525/2013</w:t>
      </w:r>
      <w:r w:rsidR="009B1CA8">
        <w:t xml:space="preserve"> (COM (2013) 480 FINAL</w:t>
      </w:r>
      <w:r w:rsidR="002F756D" w:rsidRPr="00222B7C">
        <w:t>)</w:t>
      </w:r>
    </w:p>
    <w:tbl>
      <w:tblPr>
        <w:tblW w:w="8658" w:type="dxa"/>
        <w:tblLayout w:type="fixed"/>
        <w:tblLook w:val="0000"/>
      </w:tblPr>
      <w:tblGrid>
        <w:gridCol w:w="1998"/>
        <w:gridCol w:w="3552"/>
        <w:gridCol w:w="3108"/>
      </w:tblGrid>
      <w:tr w:rsidR="002F756D" w:rsidRPr="00222B7C">
        <w:tblPrEx>
          <w:tblCellMar>
            <w:top w:w="0" w:type="dxa"/>
            <w:bottom w:w="0" w:type="dxa"/>
          </w:tblCellMar>
        </w:tblPrEx>
        <w:trPr>
          <w:cantSplit/>
        </w:trPr>
        <w:tc>
          <w:tcPr>
            <w:tcW w:w="1998" w:type="dxa"/>
          </w:tcPr>
          <w:p w:rsidR="002F756D" w:rsidRPr="00222B7C" w:rsidRDefault="00DF4598">
            <w:pPr>
              <w:pStyle w:val="Heading6"/>
              <w:rPr>
                <w:rFonts w:ascii="Times New Roman" w:hAnsi="Times New Roman"/>
                <w:szCs w:val="22"/>
              </w:rPr>
            </w:pPr>
            <w:r w:rsidRPr="00222B7C">
              <w:rPr>
                <w:rFonts w:ascii="Times New Roman" w:hAnsi="Times New Roman"/>
                <w:szCs w:val="22"/>
              </w:rPr>
              <w:t>Implementing</w:t>
            </w:r>
            <w:r w:rsidR="002F756D" w:rsidRPr="00222B7C">
              <w:rPr>
                <w:rFonts w:ascii="Times New Roman" w:hAnsi="Times New Roman"/>
                <w:szCs w:val="22"/>
              </w:rPr>
              <w:t xml:space="preserve"> Ministry</w:t>
            </w:r>
          </w:p>
        </w:tc>
        <w:tc>
          <w:tcPr>
            <w:tcW w:w="6660" w:type="dxa"/>
            <w:gridSpan w:val="2"/>
          </w:tcPr>
          <w:p w:rsidR="002F756D" w:rsidRPr="00222B7C" w:rsidRDefault="00286EF7" w:rsidP="006B3C5C">
            <w:pPr>
              <w:jc w:val="left"/>
            </w:pPr>
            <w:r w:rsidRPr="00222B7C">
              <w:rPr>
                <w:rFonts w:ascii="Times New Roman" w:hAnsi="Times New Roman"/>
                <w:sz w:val="22"/>
                <w:szCs w:val="22"/>
              </w:rPr>
              <w:t>Ministry for Sustainable Development, the Environment and Climate Change (MSDEC)</w:t>
            </w:r>
            <w:r w:rsidR="00351C87">
              <w:rPr>
                <w:rFonts w:ascii="Times New Roman" w:hAnsi="Times New Roman"/>
                <w:sz w:val="22"/>
                <w:szCs w:val="22"/>
              </w:rPr>
              <w:t xml:space="preserve"> </w:t>
            </w:r>
            <w:r w:rsidR="006B3C5C">
              <w:rPr>
                <w:rFonts w:ascii="Times New Roman" w:hAnsi="Times New Roman"/>
                <w:sz w:val="22"/>
                <w:szCs w:val="22"/>
              </w:rPr>
              <w:br/>
            </w:r>
            <w:r w:rsidR="00351C87" w:rsidRPr="00351C87">
              <w:rPr>
                <w:rFonts w:ascii="Times New Roman" w:hAnsi="Times New Roman"/>
                <w:sz w:val="22"/>
                <w:szCs w:val="22"/>
              </w:rPr>
              <w:t>Ministry for Transport and Infrastructure (MTI)</w:t>
            </w:r>
          </w:p>
        </w:tc>
      </w:tr>
      <w:tr w:rsidR="002F756D" w:rsidRPr="00222B7C">
        <w:tblPrEx>
          <w:tblCellMar>
            <w:top w:w="0" w:type="dxa"/>
            <w:bottom w:w="0" w:type="dxa"/>
          </w:tblCellMar>
        </w:tblPrEx>
        <w:trPr>
          <w:cantSplit/>
        </w:trPr>
        <w:tc>
          <w:tcPr>
            <w:tcW w:w="1998" w:type="dxa"/>
          </w:tcPr>
          <w:p w:rsidR="002F756D" w:rsidRPr="00222B7C" w:rsidRDefault="002F756D">
            <w:pPr>
              <w:pStyle w:val="Heading6"/>
              <w:rPr>
                <w:rFonts w:ascii="Times New Roman" w:hAnsi="Times New Roman"/>
                <w:szCs w:val="22"/>
              </w:rPr>
            </w:pPr>
          </w:p>
        </w:tc>
        <w:tc>
          <w:tcPr>
            <w:tcW w:w="6660" w:type="dxa"/>
            <w:gridSpan w:val="2"/>
          </w:tcPr>
          <w:p w:rsidR="002F756D" w:rsidRPr="00222B7C" w:rsidRDefault="002F756D">
            <w:pPr>
              <w:pStyle w:val="Heading8"/>
              <w:rPr>
                <w:szCs w:val="22"/>
              </w:rPr>
            </w:pPr>
          </w:p>
        </w:tc>
      </w:tr>
      <w:tr w:rsidR="002F756D" w:rsidRPr="00222B7C">
        <w:tblPrEx>
          <w:tblCellMar>
            <w:top w:w="0" w:type="dxa"/>
            <w:bottom w:w="0" w:type="dxa"/>
          </w:tblCellMar>
        </w:tblPrEx>
        <w:trPr>
          <w:cantSplit/>
        </w:trPr>
        <w:tc>
          <w:tcPr>
            <w:tcW w:w="1998" w:type="dxa"/>
          </w:tcPr>
          <w:p w:rsidR="002F756D" w:rsidRPr="00222B7C" w:rsidRDefault="00DF4598">
            <w:pPr>
              <w:pStyle w:val="Heading6"/>
              <w:rPr>
                <w:rFonts w:ascii="Times New Roman" w:hAnsi="Times New Roman"/>
                <w:szCs w:val="22"/>
              </w:rPr>
            </w:pPr>
            <w:r w:rsidRPr="00222B7C">
              <w:rPr>
                <w:rFonts w:ascii="Times New Roman" w:hAnsi="Times New Roman"/>
                <w:szCs w:val="22"/>
              </w:rPr>
              <w:t>Participating Ministries</w:t>
            </w:r>
          </w:p>
        </w:tc>
        <w:tc>
          <w:tcPr>
            <w:tcW w:w="6660" w:type="dxa"/>
            <w:gridSpan w:val="2"/>
          </w:tcPr>
          <w:p w:rsidR="002F756D" w:rsidRDefault="00D223BB" w:rsidP="00D223BB">
            <w:pPr>
              <w:pStyle w:val="Heading8"/>
              <w:rPr>
                <w:szCs w:val="22"/>
              </w:rPr>
            </w:pPr>
            <w:r>
              <w:rPr>
                <w:szCs w:val="22"/>
              </w:rPr>
              <w:t>Ministry for Finance (MFIN)</w:t>
            </w:r>
          </w:p>
          <w:p w:rsidR="006B3C5C" w:rsidRPr="00222B7C" w:rsidRDefault="006B3C5C" w:rsidP="00D223BB">
            <w:pPr>
              <w:pStyle w:val="Heading8"/>
              <w:rPr>
                <w:szCs w:val="22"/>
              </w:rPr>
            </w:pPr>
            <w:r>
              <w:rPr>
                <w:szCs w:val="22"/>
              </w:rPr>
              <w:t>Ministry for Energy and the Conservation of Water (MECW)</w:t>
            </w:r>
          </w:p>
        </w:tc>
      </w:tr>
      <w:tr w:rsidR="002F756D" w:rsidRPr="00222B7C">
        <w:tblPrEx>
          <w:tblCellMar>
            <w:top w:w="0" w:type="dxa"/>
            <w:bottom w:w="0" w:type="dxa"/>
          </w:tblCellMar>
        </w:tblPrEx>
        <w:trPr>
          <w:cantSplit/>
        </w:trPr>
        <w:tc>
          <w:tcPr>
            <w:tcW w:w="8658" w:type="dxa"/>
            <w:gridSpan w:val="3"/>
          </w:tcPr>
          <w:p w:rsidR="002F756D" w:rsidRPr="00222B7C" w:rsidRDefault="002F756D">
            <w:pPr>
              <w:pStyle w:val="Heading8"/>
              <w:rPr>
                <w:szCs w:val="22"/>
              </w:rPr>
            </w:pPr>
          </w:p>
        </w:tc>
      </w:tr>
      <w:tr w:rsidR="002F756D" w:rsidRPr="00222B7C">
        <w:tblPrEx>
          <w:tblCellMar>
            <w:top w:w="0" w:type="dxa"/>
            <w:bottom w:w="0" w:type="dxa"/>
          </w:tblCellMar>
        </w:tblPrEx>
        <w:trPr>
          <w:cantSplit/>
        </w:trPr>
        <w:tc>
          <w:tcPr>
            <w:tcW w:w="1998" w:type="dxa"/>
          </w:tcPr>
          <w:p w:rsidR="002F756D" w:rsidRPr="00222B7C" w:rsidRDefault="002F756D">
            <w:pPr>
              <w:pStyle w:val="Heading6"/>
              <w:rPr>
                <w:rFonts w:ascii="Times New Roman" w:hAnsi="Times New Roman"/>
                <w:szCs w:val="22"/>
              </w:rPr>
            </w:pPr>
            <w:r w:rsidRPr="00222B7C">
              <w:rPr>
                <w:rFonts w:ascii="Times New Roman" w:hAnsi="Times New Roman"/>
                <w:szCs w:val="22"/>
              </w:rPr>
              <w:t>Originating Department / Entity</w:t>
            </w:r>
          </w:p>
        </w:tc>
        <w:tc>
          <w:tcPr>
            <w:tcW w:w="6660" w:type="dxa"/>
            <w:gridSpan w:val="2"/>
          </w:tcPr>
          <w:p w:rsidR="002F756D" w:rsidRPr="00222B7C" w:rsidRDefault="00D223BB">
            <w:pPr>
              <w:pStyle w:val="Heading8"/>
              <w:rPr>
                <w:szCs w:val="22"/>
              </w:rPr>
            </w:pPr>
            <w:r>
              <w:rPr>
                <w:szCs w:val="22"/>
              </w:rPr>
              <w:t>EU Affairs Department, MSDEC</w:t>
            </w:r>
          </w:p>
        </w:tc>
      </w:tr>
      <w:tr w:rsidR="002F756D" w:rsidRPr="00222B7C">
        <w:tblPrEx>
          <w:tblCellMar>
            <w:top w:w="0" w:type="dxa"/>
            <w:bottom w:w="0" w:type="dxa"/>
          </w:tblCellMar>
        </w:tblPrEx>
        <w:trPr>
          <w:cantSplit/>
        </w:trPr>
        <w:tc>
          <w:tcPr>
            <w:tcW w:w="8658" w:type="dxa"/>
            <w:gridSpan w:val="3"/>
          </w:tcPr>
          <w:p w:rsidR="002F756D" w:rsidRPr="00222B7C" w:rsidRDefault="002F756D">
            <w:pPr>
              <w:pStyle w:val="Heading6"/>
              <w:rPr>
                <w:rFonts w:ascii="Times New Roman" w:hAnsi="Times New Roman"/>
                <w:szCs w:val="22"/>
              </w:rPr>
            </w:pPr>
          </w:p>
        </w:tc>
      </w:tr>
      <w:tr w:rsidR="002F756D" w:rsidRPr="00222B7C">
        <w:tblPrEx>
          <w:tblCellMar>
            <w:top w:w="0" w:type="dxa"/>
            <w:bottom w:w="0" w:type="dxa"/>
          </w:tblCellMar>
        </w:tblPrEx>
        <w:trPr>
          <w:cantSplit/>
        </w:trPr>
        <w:tc>
          <w:tcPr>
            <w:tcW w:w="1998" w:type="dxa"/>
          </w:tcPr>
          <w:p w:rsidR="002F756D" w:rsidRPr="00222B7C" w:rsidRDefault="002F756D">
            <w:pPr>
              <w:pStyle w:val="Heading6"/>
              <w:rPr>
                <w:rFonts w:ascii="Times New Roman" w:hAnsi="Times New Roman"/>
                <w:szCs w:val="22"/>
              </w:rPr>
            </w:pPr>
            <w:r w:rsidRPr="00222B7C">
              <w:rPr>
                <w:rFonts w:ascii="Times New Roman" w:hAnsi="Times New Roman"/>
                <w:szCs w:val="22"/>
              </w:rPr>
              <w:t>Approvals</w:t>
            </w:r>
          </w:p>
        </w:tc>
        <w:tc>
          <w:tcPr>
            <w:tcW w:w="3552" w:type="dxa"/>
          </w:tcPr>
          <w:p w:rsidR="002F756D" w:rsidRPr="00222B7C" w:rsidRDefault="002F756D" w:rsidP="00351C87">
            <w:pPr>
              <w:pStyle w:val="Heading8"/>
              <w:rPr>
                <w:szCs w:val="22"/>
              </w:rPr>
            </w:pPr>
            <w:r w:rsidRPr="00222B7C">
              <w:rPr>
                <w:szCs w:val="22"/>
              </w:rPr>
              <w:t>Chairman, Inter-Ministerial Commi</w:t>
            </w:r>
            <w:r w:rsidR="00B44A3B">
              <w:rPr>
                <w:szCs w:val="22"/>
              </w:rPr>
              <w:t>ttee for European Union Affairs</w:t>
            </w:r>
          </w:p>
        </w:tc>
        <w:tc>
          <w:tcPr>
            <w:tcW w:w="3108" w:type="dxa"/>
          </w:tcPr>
          <w:p w:rsidR="00351C87" w:rsidRDefault="002F756D" w:rsidP="00351C87">
            <w:pPr>
              <w:pStyle w:val="Heading8"/>
              <w:rPr>
                <w:szCs w:val="22"/>
              </w:rPr>
            </w:pPr>
            <w:r w:rsidRPr="00222B7C">
              <w:rPr>
                <w:szCs w:val="22"/>
              </w:rPr>
              <w:t xml:space="preserve">Permanent Secretary, </w:t>
            </w:r>
            <w:r w:rsidR="00594D6A">
              <w:rPr>
                <w:szCs w:val="22"/>
              </w:rPr>
              <w:t>MSDEC</w:t>
            </w:r>
            <w:r w:rsidR="00351C87" w:rsidRPr="00887693">
              <w:rPr>
                <w:szCs w:val="22"/>
              </w:rPr>
              <w:t xml:space="preserve"> Permanent Secretary, </w:t>
            </w:r>
            <w:r w:rsidR="00351C87">
              <w:rPr>
                <w:szCs w:val="22"/>
              </w:rPr>
              <w:t>MTI</w:t>
            </w:r>
          </w:p>
          <w:p w:rsidR="002F756D" w:rsidRPr="00222B7C" w:rsidRDefault="002F756D" w:rsidP="00965BCF">
            <w:pPr>
              <w:pStyle w:val="Heading8"/>
              <w:rPr>
                <w:szCs w:val="22"/>
              </w:rPr>
            </w:pPr>
          </w:p>
        </w:tc>
      </w:tr>
      <w:tr w:rsidR="002F756D" w:rsidRPr="00222B7C">
        <w:tblPrEx>
          <w:tblCellMar>
            <w:top w:w="0" w:type="dxa"/>
            <w:bottom w:w="0" w:type="dxa"/>
          </w:tblCellMar>
        </w:tblPrEx>
        <w:trPr>
          <w:cantSplit/>
        </w:trPr>
        <w:tc>
          <w:tcPr>
            <w:tcW w:w="1998" w:type="dxa"/>
          </w:tcPr>
          <w:p w:rsidR="002F756D" w:rsidRPr="00222B7C" w:rsidRDefault="002F756D">
            <w:pPr>
              <w:pStyle w:val="Heading6"/>
              <w:rPr>
                <w:rFonts w:ascii="Times New Roman" w:hAnsi="Times New Roman"/>
                <w:szCs w:val="22"/>
              </w:rPr>
            </w:pPr>
          </w:p>
        </w:tc>
        <w:tc>
          <w:tcPr>
            <w:tcW w:w="3552" w:type="dxa"/>
          </w:tcPr>
          <w:p w:rsidR="002F756D" w:rsidRPr="00222B7C" w:rsidRDefault="002F756D">
            <w:pPr>
              <w:pStyle w:val="Heading8"/>
              <w:rPr>
                <w:szCs w:val="22"/>
              </w:rPr>
            </w:pPr>
          </w:p>
        </w:tc>
        <w:tc>
          <w:tcPr>
            <w:tcW w:w="3108" w:type="dxa"/>
          </w:tcPr>
          <w:p w:rsidR="002F756D" w:rsidRPr="00222B7C" w:rsidRDefault="002F756D">
            <w:pPr>
              <w:pStyle w:val="Body"/>
              <w:spacing w:after="0" w:line="240" w:lineRule="auto"/>
              <w:rPr>
                <w:szCs w:val="22"/>
              </w:rPr>
            </w:pPr>
          </w:p>
        </w:tc>
      </w:tr>
      <w:tr w:rsidR="002F756D" w:rsidRPr="00222B7C">
        <w:tblPrEx>
          <w:tblCellMar>
            <w:top w:w="0" w:type="dxa"/>
            <w:bottom w:w="0" w:type="dxa"/>
          </w:tblCellMar>
        </w:tblPrEx>
        <w:trPr>
          <w:cantSplit/>
        </w:trPr>
        <w:tc>
          <w:tcPr>
            <w:tcW w:w="1998" w:type="dxa"/>
          </w:tcPr>
          <w:p w:rsidR="002F756D" w:rsidRPr="00222B7C" w:rsidRDefault="002F756D">
            <w:pPr>
              <w:pStyle w:val="Heading6"/>
              <w:rPr>
                <w:rFonts w:ascii="Times New Roman" w:hAnsi="Times New Roman"/>
                <w:szCs w:val="22"/>
              </w:rPr>
            </w:pPr>
          </w:p>
        </w:tc>
        <w:tc>
          <w:tcPr>
            <w:tcW w:w="3552" w:type="dxa"/>
          </w:tcPr>
          <w:p w:rsidR="00D223BB" w:rsidRDefault="00D223BB" w:rsidP="00D223BB">
            <w:pPr>
              <w:pStyle w:val="Heading8"/>
              <w:rPr>
                <w:szCs w:val="22"/>
              </w:rPr>
            </w:pPr>
            <w:r w:rsidRPr="00887693">
              <w:rPr>
                <w:szCs w:val="22"/>
              </w:rPr>
              <w:t xml:space="preserve">Permanent Secretary, </w:t>
            </w:r>
            <w:r>
              <w:rPr>
                <w:szCs w:val="22"/>
              </w:rPr>
              <w:t>MECW</w:t>
            </w:r>
          </w:p>
          <w:p w:rsidR="00D223BB" w:rsidRPr="00222B7C" w:rsidRDefault="00D223BB" w:rsidP="00965BCF">
            <w:pPr>
              <w:pStyle w:val="Heading8"/>
              <w:rPr>
                <w:szCs w:val="22"/>
              </w:rPr>
            </w:pPr>
            <w:r w:rsidRPr="00887693">
              <w:rPr>
                <w:szCs w:val="22"/>
              </w:rPr>
              <w:t xml:space="preserve">Permanent Secretary, </w:t>
            </w:r>
            <w:r>
              <w:rPr>
                <w:szCs w:val="22"/>
              </w:rPr>
              <w:t>MFIN</w:t>
            </w:r>
          </w:p>
        </w:tc>
        <w:tc>
          <w:tcPr>
            <w:tcW w:w="3108" w:type="dxa"/>
          </w:tcPr>
          <w:p w:rsidR="002F756D" w:rsidRPr="00222B7C" w:rsidRDefault="002F756D">
            <w:pPr>
              <w:pStyle w:val="Body"/>
              <w:spacing w:after="0" w:line="240" w:lineRule="auto"/>
              <w:rPr>
                <w:szCs w:val="22"/>
              </w:rPr>
            </w:pPr>
          </w:p>
        </w:tc>
      </w:tr>
      <w:tr w:rsidR="002F756D" w:rsidRPr="00222B7C">
        <w:tblPrEx>
          <w:tblCellMar>
            <w:top w:w="0" w:type="dxa"/>
            <w:bottom w:w="0" w:type="dxa"/>
          </w:tblCellMar>
        </w:tblPrEx>
        <w:trPr>
          <w:cantSplit/>
        </w:trPr>
        <w:tc>
          <w:tcPr>
            <w:tcW w:w="8658" w:type="dxa"/>
            <w:gridSpan w:val="3"/>
          </w:tcPr>
          <w:p w:rsidR="002F756D" w:rsidRPr="00222B7C" w:rsidRDefault="002F756D">
            <w:pPr>
              <w:spacing w:line="240" w:lineRule="auto"/>
              <w:jc w:val="left"/>
              <w:rPr>
                <w:rFonts w:ascii="Times New Roman" w:hAnsi="Times New Roman"/>
                <w:sz w:val="22"/>
                <w:szCs w:val="22"/>
              </w:rPr>
            </w:pPr>
          </w:p>
        </w:tc>
      </w:tr>
      <w:tr w:rsidR="002F756D" w:rsidRPr="00222B7C">
        <w:tblPrEx>
          <w:tblCellMar>
            <w:top w:w="0" w:type="dxa"/>
            <w:bottom w:w="0" w:type="dxa"/>
          </w:tblCellMar>
        </w:tblPrEx>
        <w:tc>
          <w:tcPr>
            <w:tcW w:w="1998" w:type="dxa"/>
          </w:tcPr>
          <w:p w:rsidR="002F756D" w:rsidRPr="00222B7C" w:rsidRDefault="002F756D">
            <w:pPr>
              <w:pStyle w:val="Heading6"/>
              <w:rPr>
                <w:rFonts w:ascii="Times New Roman" w:hAnsi="Times New Roman"/>
                <w:szCs w:val="22"/>
              </w:rPr>
            </w:pPr>
            <w:r w:rsidRPr="00222B7C">
              <w:rPr>
                <w:rFonts w:ascii="Times New Roman" w:hAnsi="Times New Roman"/>
                <w:szCs w:val="22"/>
              </w:rPr>
              <w:t>Copy</w:t>
            </w:r>
          </w:p>
        </w:tc>
        <w:tc>
          <w:tcPr>
            <w:tcW w:w="3552" w:type="dxa"/>
          </w:tcPr>
          <w:p w:rsidR="002F756D" w:rsidRPr="00222B7C" w:rsidRDefault="002F756D" w:rsidP="00965BCF">
            <w:pPr>
              <w:pStyle w:val="Heading8"/>
              <w:rPr>
                <w:szCs w:val="22"/>
              </w:rPr>
            </w:pPr>
            <w:r w:rsidRPr="00222B7C">
              <w:rPr>
                <w:szCs w:val="22"/>
              </w:rPr>
              <w:t xml:space="preserve">Director EU Affairs, </w:t>
            </w:r>
            <w:r w:rsidR="00D4380A">
              <w:rPr>
                <w:szCs w:val="22"/>
              </w:rPr>
              <w:t>MSDEC</w:t>
            </w:r>
            <w:r w:rsidR="00351C87" w:rsidRPr="00887693">
              <w:rPr>
                <w:szCs w:val="22"/>
              </w:rPr>
              <w:t xml:space="preserve"> Director EU Affairs, </w:t>
            </w:r>
            <w:r w:rsidR="00351C87">
              <w:rPr>
                <w:szCs w:val="22"/>
              </w:rPr>
              <w:t>MTI</w:t>
            </w:r>
          </w:p>
        </w:tc>
        <w:tc>
          <w:tcPr>
            <w:tcW w:w="3108" w:type="dxa"/>
          </w:tcPr>
          <w:p w:rsidR="00D4380A" w:rsidRDefault="00D4380A" w:rsidP="00D4380A">
            <w:pPr>
              <w:pStyle w:val="Heading8"/>
              <w:rPr>
                <w:szCs w:val="22"/>
              </w:rPr>
            </w:pPr>
            <w:r w:rsidRPr="00887693">
              <w:rPr>
                <w:szCs w:val="22"/>
              </w:rPr>
              <w:t xml:space="preserve">Director EU Affairs, </w:t>
            </w:r>
            <w:r>
              <w:rPr>
                <w:szCs w:val="22"/>
              </w:rPr>
              <w:t>MECW</w:t>
            </w:r>
          </w:p>
          <w:p w:rsidR="002F756D" w:rsidRPr="00222B7C" w:rsidRDefault="00D4380A" w:rsidP="00965BCF">
            <w:pPr>
              <w:pStyle w:val="Heading8"/>
              <w:rPr>
                <w:szCs w:val="22"/>
              </w:rPr>
            </w:pPr>
            <w:r w:rsidRPr="00887693">
              <w:rPr>
                <w:szCs w:val="22"/>
              </w:rPr>
              <w:t xml:space="preserve">Director EU Affairs, </w:t>
            </w:r>
            <w:r>
              <w:rPr>
                <w:szCs w:val="22"/>
              </w:rPr>
              <w:t>MFIN</w:t>
            </w:r>
          </w:p>
        </w:tc>
      </w:tr>
      <w:tr w:rsidR="002F756D" w:rsidRPr="00222B7C">
        <w:tblPrEx>
          <w:tblCellMar>
            <w:top w:w="0" w:type="dxa"/>
            <w:bottom w:w="0" w:type="dxa"/>
          </w:tblCellMar>
        </w:tblPrEx>
        <w:trPr>
          <w:cantSplit/>
        </w:trPr>
        <w:tc>
          <w:tcPr>
            <w:tcW w:w="8658" w:type="dxa"/>
            <w:gridSpan w:val="3"/>
          </w:tcPr>
          <w:p w:rsidR="002F756D" w:rsidRPr="00222B7C" w:rsidRDefault="002F756D">
            <w:pPr>
              <w:pStyle w:val="Heading8"/>
              <w:rPr>
                <w:szCs w:val="22"/>
              </w:rPr>
            </w:pPr>
          </w:p>
        </w:tc>
      </w:tr>
      <w:tr w:rsidR="002F756D" w:rsidRPr="00222B7C">
        <w:tblPrEx>
          <w:tblCellMar>
            <w:top w:w="0" w:type="dxa"/>
            <w:bottom w:w="0" w:type="dxa"/>
          </w:tblCellMar>
        </w:tblPrEx>
        <w:trPr>
          <w:cantSplit/>
        </w:trPr>
        <w:tc>
          <w:tcPr>
            <w:tcW w:w="1998" w:type="dxa"/>
          </w:tcPr>
          <w:p w:rsidR="002F756D" w:rsidRPr="00222B7C" w:rsidRDefault="002F756D">
            <w:pPr>
              <w:pStyle w:val="Heading6"/>
              <w:rPr>
                <w:rFonts w:ascii="Times New Roman" w:hAnsi="Times New Roman"/>
                <w:szCs w:val="22"/>
              </w:rPr>
            </w:pPr>
            <w:r w:rsidRPr="00222B7C">
              <w:rPr>
                <w:rFonts w:ascii="Times New Roman" w:hAnsi="Times New Roman"/>
                <w:szCs w:val="22"/>
              </w:rPr>
              <w:t>Reference</w:t>
            </w:r>
          </w:p>
          <w:p w:rsidR="002F756D" w:rsidRPr="00222B7C" w:rsidRDefault="002F756D">
            <w:pPr>
              <w:pStyle w:val="Heading6"/>
              <w:rPr>
                <w:rFonts w:ascii="Times New Roman" w:hAnsi="Times New Roman"/>
                <w:szCs w:val="22"/>
              </w:rPr>
            </w:pPr>
            <w:r w:rsidRPr="00222B7C">
              <w:rPr>
                <w:rFonts w:ascii="Times New Roman" w:hAnsi="Times New Roman"/>
                <w:szCs w:val="22"/>
              </w:rPr>
              <w:t>Documents</w:t>
            </w:r>
          </w:p>
        </w:tc>
        <w:tc>
          <w:tcPr>
            <w:tcW w:w="6660" w:type="dxa"/>
            <w:gridSpan w:val="2"/>
          </w:tcPr>
          <w:p w:rsidR="002F756D" w:rsidRPr="00222B7C" w:rsidRDefault="00D4380A">
            <w:pPr>
              <w:pStyle w:val="Heading8"/>
              <w:rPr>
                <w:szCs w:val="22"/>
              </w:rPr>
            </w:pPr>
            <w:r>
              <w:rPr>
                <w:szCs w:val="22"/>
              </w:rPr>
              <w:t>COM (2013) 480 final</w:t>
            </w:r>
          </w:p>
        </w:tc>
      </w:tr>
      <w:tr w:rsidR="002F756D" w:rsidRPr="00222B7C">
        <w:tblPrEx>
          <w:tblCellMar>
            <w:top w:w="0" w:type="dxa"/>
            <w:bottom w:w="0" w:type="dxa"/>
          </w:tblCellMar>
        </w:tblPrEx>
        <w:trPr>
          <w:cantSplit/>
        </w:trPr>
        <w:tc>
          <w:tcPr>
            <w:tcW w:w="8658" w:type="dxa"/>
            <w:gridSpan w:val="3"/>
          </w:tcPr>
          <w:p w:rsidR="002F756D" w:rsidRPr="00222B7C" w:rsidRDefault="002F756D">
            <w:pPr>
              <w:pStyle w:val="Heading8"/>
              <w:rPr>
                <w:szCs w:val="22"/>
              </w:rPr>
            </w:pPr>
          </w:p>
        </w:tc>
      </w:tr>
      <w:tr w:rsidR="002F756D" w:rsidRPr="00222B7C">
        <w:tblPrEx>
          <w:tblCellMar>
            <w:top w:w="0" w:type="dxa"/>
            <w:bottom w:w="0" w:type="dxa"/>
          </w:tblCellMar>
        </w:tblPrEx>
        <w:trPr>
          <w:cantSplit/>
        </w:trPr>
        <w:tc>
          <w:tcPr>
            <w:tcW w:w="1998" w:type="dxa"/>
          </w:tcPr>
          <w:p w:rsidR="002F756D" w:rsidRPr="00222B7C" w:rsidRDefault="002F756D">
            <w:pPr>
              <w:pStyle w:val="Heading6"/>
              <w:rPr>
                <w:rFonts w:ascii="Times New Roman" w:hAnsi="Times New Roman"/>
                <w:szCs w:val="22"/>
              </w:rPr>
            </w:pPr>
            <w:r w:rsidRPr="00222B7C">
              <w:rPr>
                <w:rFonts w:ascii="Times New Roman" w:hAnsi="Times New Roman"/>
                <w:szCs w:val="22"/>
              </w:rPr>
              <w:t>DMS Reference Number</w:t>
            </w:r>
          </w:p>
        </w:tc>
        <w:tc>
          <w:tcPr>
            <w:tcW w:w="6660" w:type="dxa"/>
            <w:gridSpan w:val="2"/>
          </w:tcPr>
          <w:p w:rsidR="002F756D" w:rsidRPr="00222B7C" w:rsidRDefault="00AC612E">
            <w:pPr>
              <w:pStyle w:val="Heading8"/>
              <w:rPr>
                <w:szCs w:val="22"/>
              </w:rPr>
            </w:pPr>
            <w:r>
              <w:rPr>
                <w:szCs w:val="22"/>
              </w:rPr>
              <w:t>ENV(P) MRVGHGSMARITIME 190913</w:t>
            </w:r>
          </w:p>
        </w:tc>
      </w:tr>
      <w:tr w:rsidR="002F756D" w:rsidRPr="00222B7C">
        <w:tblPrEx>
          <w:tblCellMar>
            <w:top w:w="0" w:type="dxa"/>
            <w:bottom w:w="0" w:type="dxa"/>
          </w:tblCellMar>
        </w:tblPrEx>
        <w:tc>
          <w:tcPr>
            <w:tcW w:w="1998" w:type="dxa"/>
          </w:tcPr>
          <w:p w:rsidR="002F756D" w:rsidRPr="00222B7C" w:rsidRDefault="002F756D">
            <w:pPr>
              <w:pStyle w:val="Heading6"/>
              <w:rPr>
                <w:rFonts w:ascii="Times New Roman" w:hAnsi="Times New Roman"/>
                <w:szCs w:val="22"/>
              </w:rPr>
            </w:pPr>
          </w:p>
        </w:tc>
        <w:tc>
          <w:tcPr>
            <w:tcW w:w="3552" w:type="dxa"/>
          </w:tcPr>
          <w:p w:rsidR="002F756D" w:rsidRPr="00222B7C" w:rsidRDefault="002F756D">
            <w:pPr>
              <w:pStyle w:val="Heading8"/>
              <w:rPr>
                <w:szCs w:val="22"/>
              </w:rPr>
            </w:pPr>
          </w:p>
        </w:tc>
        <w:tc>
          <w:tcPr>
            <w:tcW w:w="3108" w:type="dxa"/>
          </w:tcPr>
          <w:p w:rsidR="002F756D" w:rsidRPr="00222B7C" w:rsidRDefault="002F756D">
            <w:pPr>
              <w:pStyle w:val="Heading8"/>
              <w:rPr>
                <w:szCs w:val="22"/>
              </w:rPr>
            </w:pPr>
          </w:p>
        </w:tc>
      </w:tr>
      <w:tr w:rsidR="002F756D" w:rsidRPr="00222B7C">
        <w:tblPrEx>
          <w:tblCellMar>
            <w:top w:w="0" w:type="dxa"/>
            <w:bottom w:w="0" w:type="dxa"/>
          </w:tblCellMar>
        </w:tblPrEx>
        <w:trPr>
          <w:cantSplit/>
        </w:trPr>
        <w:tc>
          <w:tcPr>
            <w:tcW w:w="1998" w:type="dxa"/>
          </w:tcPr>
          <w:p w:rsidR="002F756D" w:rsidRPr="00222B7C" w:rsidRDefault="002F756D">
            <w:pPr>
              <w:pStyle w:val="Heading6"/>
              <w:rPr>
                <w:rFonts w:ascii="Times New Roman" w:hAnsi="Times New Roman"/>
                <w:szCs w:val="22"/>
              </w:rPr>
            </w:pPr>
            <w:r w:rsidRPr="00222B7C">
              <w:rPr>
                <w:rFonts w:ascii="Times New Roman" w:hAnsi="Times New Roman"/>
                <w:szCs w:val="22"/>
              </w:rPr>
              <w:t>Signature</w:t>
            </w:r>
          </w:p>
        </w:tc>
        <w:tc>
          <w:tcPr>
            <w:tcW w:w="6660" w:type="dxa"/>
            <w:gridSpan w:val="2"/>
          </w:tcPr>
          <w:p w:rsidR="002F756D" w:rsidRPr="00222B7C" w:rsidRDefault="002F756D">
            <w:pPr>
              <w:pStyle w:val="Heading8"/>
              <w:rPr>
                <w:szCs w:val="22"/>
              </w:rPr>
            </w:pPr>
            <w:r w:rsidRPr="00222B7C">
              <w:rPr>
                <w:szCs w:val="22"/>
              </w:rPr>
              <w:t xml:space="preserve">Minister </w:t>
            </w:r>
            <w:r w:rsidR="00D4380A">
              <w:rPr>
                <w:szCs w:val="22"/>
              </w:rPr>
              <w:t>for Sustainable Development, the Environment and Climate Change</w:t>
            </w:r>
            <w:r w:rsidR="00D56228">
              <w:rPr>
                <w:szCs w:val="22"/>
              </w:rPr>
              <w:br/>
              <w:t>Minister for Transport and Infrastructure</w:t>
            </w:r>
          </w:p>
        </w:tc>
      </w:tr>
    </w:tbl>
    <w:p w:rsidR="002F756D" w:rsidRPr="00222B7C" w:rsidRDefault="002F756D">
      <w:pPr>
        <w:pStyle w:val="Heading3"/>
        <w:ind w:left="-851" w:firstLine="0"/>
        <w:rPr>
          <w:sz w:val="22"/>
          <w:szCs w:val="22"/>
        </w:rPr>
      </w:pPr>
    </w:p>
    <w:p w:rsidR="002F756D" w:rsidRPr="00222B7C" w:rsidRDefault="002F756D">
      <w:pPr>
        <w:pStyle w:val="Heading3"/>
        <w:rPr>
          <w:sz w:val="22"/>
          <w:szCs w:val="22"/>
        </w:rPr>
      </w:pPr>
      <w:r w:rsidRPr="00222B7C">
        <w:rPr>
          <w:sz w:val="22"/>
          <w:szCs w:val="22"/>
        </w:rPr>
        <w:br w:type="page"/>
      </w:r>
      <w:r w:rsidRPr="00222B7C">
        <w:rPr>
          <w:sz w:val="22"/>
          <w:szCs w:val="22"/>
        </w:rPr>
        <w:lastRenderedPageBreak/>
        <w:t>1</w:t>
      </w:r>
      <w:r w:rsidRPr="00222B7C">
        <w:rPr>
          <w:sz w:val="22"/>
          <w:szCs w:val="22"/>
        </w:rPr>
        <w:tab/>
        <w:t>Background</w:t>
      </w:r>
    </w:p>
    <w:p w:rsidR="001D212D" w:rsidRDefault="00351C87" w:rsidP="00351C87">
      <w:pPr>
        <w:spacing w:after="130"/>
        <w:ind w:hanging="851"/>
        <w:rPr>
          <w:rFonts w:ascii="Times New Roman" w:hAnsi="Times New Roman"/>
          <w:color w:val="auto"/>
          <w:sz w:val="22"/>
          <w:szCs w:val="22"/>
          <w:lang w:eastAsia="en-GB"/>
        </w:rPr>
      </w:pPr>
      <w:r>
        <w:rPr>
          <w:rFonts w:ascii="Times New Roman" w:hAnsi="Times New Roman"/>
          <w:i/>
          <w:iCs/>
          <w:sz w:val="22"/>
          <w:szCs w:val="22"/>
        </w:rPr>
        <w:t xml:space="preserve">1.1 </w:t>
      </w:r>
      <w:r>
        <w:rPr>
          <w:rFonts w:ascii="Times New Roman" w:hAnsi="Times New Roman"/>
          <w:i/>
          <w:iCs/>
          <w:sz w:val="22"/>
          <w:szCs w:val="22"/>
        </w:rPr>
        <w:tab/>
      </w:r>
      <w:r w:rsidR="001D212D" w:rsidRPr="00222B7C">
        <w:rPr>
          <w:rFonts w:ascii="Times New Roman" w:hAnsi="Times New Roman"/>
          <w:color w:val="auto"/>
          <w:sz w:val="22"/>
          <w:szCs w:val="22"/>
          <w:lang w:eastAsia="en-GB"/>
        </w:rPr>
        <w:t xml:space="preserve">In December 2010, Parties of United Nations Framework Convention on Climate Change (UNFCCC) </w:t>
      </w:r>
      <w:r w:rsidR="006B3C5C" w:rsidRPr="00222B7C">
        <w:rPr>
          <w:rFonts w:ascii="Times New Roman" w:hAnsi="Times New Roman"/>
          <w:color w:val="auto"/>
          <w:sz w:val="22"/>
          <w:szCs w:val="22"/>
          <w:lang w:eastAsia="en-GB"/>
        </w:rPr>
        <w:t>recogni</w:t>
      </w:r>
      <w:r w:rsidR="006B3C5C">
        <w:rPr>
          <w:rFonts w:ascii="Times New Roman" w:hAnsi="Times New Roman"/>
          <w:color w:val="auto"/>
          <w:sz w:val="22"/>
          <w:szCs w:val="22"/>
          <w:lang w:eastAsia="en-GB"/>
        </w:rPr>
        <w:t>s</w:t>
      </w:r>
      <w:r w:rsidR="006B3C5C" w:rsidRPr="00222B7C">
        <w:rPr>
          <w:rFonts w:ascii="Times New Roman" w:hAnsi="Times New Roman"/>
          <w:color w:val="auto"/>
          <w:sz w:val="22"/>
          <w:szCs w:val="22"/>
          <w:lang w:eastAsia="en-GB"/>
        </w:rPr>
        <w:t xml:space="preserve">ed </w:t>
      </w:r>
      <w:r w:rsidR="001D212D" w:rsidRPr="00222B7C">
        <w:rPr>
          <w:rFonts w:ascii="Times New Roman" w:hAnsi="Times New Roman"/>
          <w:color w:val="auto"/>
          <w:sz w:val="22"/>
          <w:szCs w:val="22"/>
          <w:lang w:eastAsia="en-GB"/>
        </w:rPr>
        <w:t>that global warming must not exceed the temperatures experienced before the industrial revolution by more than 2° C</w:t>
      </w:r>
      <w:r w:rsidR="001D212D" w:rsidRPr="00222B7C">
        <w:rPr>
          <w:rStyle w:val="FootnoteReference"/>
          <w:rFonts w:ascii="Times New Roman" w:hAnsi="Times New Roman"/>
          <w:color w:val="auto"/>
          <w:sz w:val="22"/>
          <w:szCs w:val="22"/>
          <w:lang w:eastAsia="en-GB"/>
        </w:rPr>
        <w:footnoteReference w:id="1"/>
      </w:r>
      <w:r w:rsidR="001D212D" w:rsidRPr="00222B7C">
        <w:rPr>
          <w:rFonts w:ascii="Times New Roman" w:hAnsi="Times New Roman"/>
          <w:color w:val="auto"/>
          <w:sz w:val="22"/>
          <w:szCs w:val="22"/>
          <w:lang w:eastAsia="en-GB"/>
        </w:rPr>
        <w:t xml:space="preserve">. This is vital if the negative consequences of human interference with the climate system are to be limited. </w:t>
      </w:r>
    </w:p>
    <w:p w:rsidR="001D212D" w:rsidRDefault="00351C87" w:rsidP="00351C87">
      <w:pPr>
        <w:spacing w:after="130"/>
        <w:ind w:hanging="851"/>
        <w:rPr>
          <w:rFonts w:ascii="Times New Roman" w:hAnsi="Times New Roman"/>
          <w:color w:val="auto"/>
          <w:sz w:val="22"/>
          <w:szCs w:val="22"/>
          <w:lang w:eastAsia="en-GB"/>
        </w:rPr>
      </w:pPr>
      <w:r w:rsidRPr="00351C87">
        <w:rPr>
          <w:rFonts w:ascii="Times New Roman" w:hAnsi="Times New Roman"/>
          <w:i/>
          <w:color w:val="auto"/>
          <w:sz w:val="22"/>
          <w:szCs w:val="22"/>
          <w:lang w:eastAsia="en-GB"/>
        </w:rPr>
        <w:t>1.2</w:t>
      </w:r>
      <w:r w:rsidR="001D212D" w:rsidRPr="00351C87">
        <w:rPr>
          <w:rFonts w:ascii="Times New Roman" w:hAnsi="Times New Roman"/>
          <w:i/>
          <w:color w:val="auto"/>
          <w:sz w:val="22"/>
          <w:szCs w:val="22"/>
          <w:lang w:eastAsia="en-GB"/>
        </w:rPr>
        <w:tab/>
      </w:r>
      <w:r w:rsidR="001D212D" w:rsidRPr="00222B7C">
        <w:rPr>
          <w:rFonts w:ascii="Times New Roman" w:hAnsi="Times New Roman"/>
          <w:color w:val="auto"/>
          <w:sz w:val="22"/>
          <w:szCs w:val="22"/>
          <w:lang w:eastAsia="en-GB"/>
        </w:rPr>
        <w:t>Th</w:t>
      </w:r>
      <w:r w:rsidR="001D212D">
        <w:rPr>
          <w:rFonts w:ascii="Times New Roman" w:hAnsi="Times New Roman"/>
          <w:color w:val="auto"/>
          <w:sz w:val="22"/>
          <w:szCs w:val="22"/>
          <w:lang w:eastAsia="en-GB"/>
        </w:rPr>
        <w:t>e 2</w:t>
      </w:r>
      <w:r w:rsidR="001D212D" w:rsidRPr="009F280A">
        <w:rPr>
          <w:rFonts w:ascii="Times New Roman" w:hAnsi="Times New Roman"/>
          <w:color w:val="auto"/>
          <w:sz w:val="22"/>
          <w:szCs w:val="22"/>
          <w:vertAlign w:val="superscript"/>
          <w:lang w:eastAsia="en-GB"/>
        </w:rPr>
        <w:t>o</w:t>
      </w:r>
      <w:r w:rsidR="001D212D">
        <w:rPr>
          <w:rFonts w:ascii="Times New Roman" w:hAnsi="Times New Roman"/>
          <w:color w:val="auto"/>
          <w:sz w:val="22"/>
          <w:szCs w:val="22"/>
          <w:lang w:eastAsia="en-GB"/>
        </w:rPr>
        <w:t>C</w:t>
      </w:r>
      <w:r w:rsidR="001D212D" w:rsidRPr="00222B7C">
        <w:rPr>
          <w:rFonts w:ascii="Times New Roman" w:hAnsi="Times New Roman"/>
          <w:color w:val="auto"/>
          <w:sz w:val="22"/>
          <w:szCs w:val="22"/>
          <w:lang w:eastAsia="en-GB"/>
        </w:rPr>
        <w:t xml:space="preserve"> goal requires global greenhouse gas</w:t>
      </w:r>
      <w:r w:rsidR="001D212D">
        <w:rPr>
          <w:rFonts w:ascii="Times New Roman" w:hAnsi="Times New Roman"/>
          <w:color w:val="auto"/>
          <w:sz w:val="22"/>
          <w:szCs w:val="22"/>
          <w:lang w:eastAsia="en-GB"/>
        </w:rPr>
        <w:t xml:space="preserve"> (GHG)</w:t>
      </w:r>
      <w:r w:rsidR="001D212D" w:rsidRPr="00222B7C">
        <w:rPr>
          <w:rFonts w:ascii="Times New Roman" w:hAnsi="Times New Roman"/>
          <w:color w:val="auto"/>
          <w:sz w:val="22"/>
          <w:szCs w:val="22"/>
          <w:lang w:eastAsia="en-GB"/>
        </w:rPr>
        <w:t xml:space="preserve"> emissions to be reduced by at least 50% below 1990 levels by 2050</w:t>
      </w:r>
      <w:r w:rsidR="001D212D" w:rsidRPr="00222B7C">
        <w:rPr>
          <w:rStyle w:val="FootnoteReference"/>
          <w:rFonts w:ascii="Times New Roman" w:hAnsi="Times New Roman"/>
          <w:color w:val="auto"/>
          <w:sz w:val="22"/>
          <w:szCs w:val="22"/>
          <w:lang w:eastAsia="en-GB"/>
        </w:rPr>
        <w:footnoteReference w:id="2"/>
      </w:r>
      <w:r w:rsidR="001D212D">
        <w:rPr>
          <w:rFonts w:ascii="Times New Roman" w:hAnsi="Times New Roman"/>
          <w:color w:val="auto"/>
          <w:sz w:val="22"/>
          <w:szCs w:val="22"/>
          <w:lang w:eastAsia="en-GB"/>
        </w:rPr>
        <w:t xml:space="preserve"> with</w:t>
      </w:r>
      <w:r w:rsidR="001D212D" w:rsidRPr="009F280A">
        <w:rPr>
          <w:rFonts w:ascii="Times New Roman" w:hAnsi="Times New Roman"/>
          <w:color w:val="auto"/>
          <w:sz w:val="22"/>
          <w:szCs w:val="22"/>
          <w:lang w:eastAsia="en-GB"/>
        </w:rPr>
        <w:t xml:space="preserve"> </w:t>
      </w:r>
      <w:r w:rsidR="001D212D">
        <w:rPr>
          <w:rFonts w:ascii="Times New Roman" w:hAnsi="Times New Roman"/>
          <w:color w:val="auto"/>
          <w:sz w:val="22"/>
          <w:szCs w:val="22"/>
          <w:lang w:eastAsia="en-GB"/>
        </w:rPr>
        <w:t>d</w:t>
      </w:r>
      <w:r w:rsidR="001D212D" w:rsidRPr="00222B7C">
        <w:rPr>
          <w:rFonts w:ascii="Times New Roman" w:hAnsi="Times New Roman"/>
          <w:color w:val="auto"/>
          <w:sz w:val="22"/>
          <w:szCs w:val="22"/>
          <w:lang w:eastAsia="en-GB"/>
        </w:rPr>
        <w:t xml:space="preserve">eveloped countries </w:t>
      </w:r>
      <w:r w:rsidR="001D212D">
        <w:rPr>
          <w:rFonts w:ascii="Times New Roman" w:hAnsi="Times New Roman"/>
          <w:color w:val="auto"/>
          <w:sz w:val="22"/>
          <w:szCs w:val="22"/>
          <w:lang w:eastAsia="en-GB"/>
        </w:rPr>
        <w:t>having to</w:t>
      </w:r>
      <w:r w:rsidR="001D212D" w:rsidRPr="00222B7C">
        <w:rPr>
          <w:rFonts w:ascii="Times New Roman" w:hAnsi="Times New Roman"/>
          <w:color w:val="auto"/>
          <w:sz w:val="22"/>
          <w:szCs w:val="22"/>
          <w:lang w:eastAsia="en-GB"/>
        </w:rPr>
        <w:t xml:space="preserve"> reduce their emissions by 80</w:t>
      </w:r>
      <w:r w:rsidR="001D212D">
        <w:rPr>
          <w:rFonts w:ascii="Times New Roman" w:hAnsi="Times New Roman"/>
          <w:color w:val="auto"/>
          <w:sz w:val="22"/>
          <w:szCs w:val="22"/>
          <w:lang w:eastAsia="en-GB"/>
        </w:rPr>
        <w:t>-</w:t>
      </w:r>
      <w:r w:rsidR="001D212D" w:rsidRPr="00222B7C">
        <w:rPr>
          <w:rFonts w:ascii="Times New Roman" w:hAnsi="Times New Roman"/>
          <w:color w:val="auto"/>
          <w:sz w:val="22"/>
          <w:szCs w:val="22"/>
          <w:lang w:eastAsia="en-GB"/>
        </w:rPr>
        <w:t>95% by 2050 compared to 1990 levels</w:t>
      </w:r>
      <w:r w:rsidR="001D212D" w:rsidRPr="00222B7C">
        <w:rPr>
          <w:rStyle w:val="FootnoteReference"/>
          <w:rFonts w:ascii="Times New Roman" w:hAnsi="Times New Roman"/>
          <w:color w:val="auto"/>
          <w:sz w:val="22"/>
          <w:szCs w:val="22"/>
          <w:lang w:eastAsia="en-GB"/>
        </w:rPr>
        <w:footnoteReference w:id="3"/>
      </w:r>
      <w:r w:rsidR="001D212D" w:rsidRPr="00222B7C">
        <w:rPr>
          <w:rFonts w:ascii="Times New Roman" w:hAnsi="Times New Roman"/>
          <w:color w:val="auto"/>
          <w:sz w:val="22"/>
          <w:szCs w:val="22"/>
          <w:lang w:eastAsia="en-GB"/>
        </w:rPr>
        <w:t>.</w:t>
      </w:r>
      <w:r w:rsidR="001D212D">
        <w:rPr>
          <w:rFonts w:ascii="Times New Roman" w:hAnsi="Times New Roman"/>
          <w:color w:val="auto"/>
          <w:sz w:val="22"/>
          <w:szCs w:val="22"/>
          <w:lang w:eastAsia="en-GB"/>
        </w:rPr>
        <w:t xml:space="preserve"> T</w:t>
      </w:r>
      <w:r w:rsidR="001D212D" w:rsidRPr="00222B7C">
        <w:rPr>
          <w:rFonts w:ascii="Times New Roman" w:hAnsi="Times New Roman"/>
          <w:color w:val="auto"/>
          <w:sz w:val="22"/>
          <w:szCs w:val="22"/>
          <w:lang w:eastAsia="en-GB"/>
        </w:rPr>
        <w:t xml:space="preserve">he EU </w:t>
      </w:r>
      <w:r w:rsidR="001D212D">
        <w:rPr>
          <w:rFonts w:ascii="Times New Roman" w:hAnsi="Times New Roman"/>
          <w:color w:val="auto"/>
          <w:sz w:val="22"/>
          <w:szCs w:val="22"/>
          <w:lang w:eastAsia="en-GB"/>
        </w:rPr>
        <w:t>is</w:t>
      </w:r>
      <w:r w:rsidR="001D212D" w:rsidRPr="00222B7C">
        <w:rPr>
          <w:rFonts w:ascii="Times New Roman" w:hAnsi="Times New Roman"/>
          <w:color w:val="auto"/>
          <w:sz w:val="22"/>
          <w:szCs w:val="22"/>
          <w:lang w:eastAsia="en-GB"/>
        </w:rPr>
        <w:t xml:space="preserve"> </w:t>
      </w:r>
      <w:r w:rsidR="001D212D">
        <w:rPr>
          <w:rFonts w:ascii="Times New Roman" w:hAnsi="Times New Roman"/>
          <w:color w:val="auto"/>
          <w:sz w:val="22"/>
          <w:szCs w:val="22"/>
          <w:lang w:eastAsia="en-GB"/>
        </w:rPr>
        <w:t xml:space="preserve">already </w:t>
      </w:r>
      <w:r w:rsidR="001D212D" w:rsidRPr="00222B7C">
        <w:rPr>
          <w:rFonts w:ascii="Times New Roman" w:hAnsi="Times New Roman"/>
          <w:color w:val="auto"/>
          <w:sz w:val="22"/>
          <w:szCs w:val="22"/>
          <w:lang w:eastAsia="en-GB"/>
        </w:rPr>
        <w:t xml:space="preserve">committed to </w:t>
      </w:r>
      <w:r w:rsidR="001D212D">
        <w:rPr>
          <w:rFonts w:ascii="Times New Roman" w:hAnsi="Times New Roman"/>
          <w:color w:val="auto"/>
          <w:sz w:val="22"/>
          <w:szCs w:val="22"/>
          <w:lang w:eastAsia="en-GB"/>
        </w:rPr>
        <w:t>a medium-term target of GHG emission reduction by</w:t>
      </w:r>
      <w:r w:rsidR="001D212D" w:rsidRPr="00222B7C">
        <w:rPr>
          <w:rFonts w:ascii="Times New Roman" w:hAnsi="Times New Roman"/>
          <w:color w:val="auto"/>
          <w:sz w:val="22"/>
          <w:szCs w:val="22"/>
          <w:lang w:eastAsia="en-GB"/>
        </w:rPr>
        <w:t xml:space="preserve"> 20% below 1990 levels by 2020, and by 30% if conditions are right</w:t>
      </w:r>
      <w:r w:rsidR="001D212D">
        <w:rPr>
          <w:rFonts w:ascii="Times New Roman" w:hAnsi="Times New Roman"/>
          <w:color w:val="auto"/>
          <w:sz w:val="22"/>
          <w:szCs w:val="22"/>
          <w:lang w:eastAsia="en-GB"/>
        </w:rPr>
        <w:t xml:space="preserve">, a </w:t>
      </w:r>
      <w:r w:rsidR="001D212D" w:rsidRPr="00222B7C">
        <w:rPr>
          <w:rFonts w:ascii="Times New Roman" w:hAnsi="Times New Roman"/>
          <w:color w:val="auto"/>
          <w:sz w:val="22"/>
          <w:szCs w:val="22"/>
          <w:lang w:eastAsia="en-GB"/>
        </w:rPr>
        <w:t xml:space="preserve">commitment </w:t>
      </w:r>
      <w:r w:rsidR="001D212D">
        <w:rPr>
          <w:rFonts w:ascii="Times New Roman" w:hAnsi="Times New Roman"/>
          <w:color w:val="auto"/>
          <w:sz w:val="22"/>
          <w:szCs w:val="22"/>
          <w:lang w:eastAsia="en-GB"/>
        </w:rPr>
        <w:t>also inscribed</w:t>
      </w:r>
      <w:r w:rsidR="001D212D" w:rsidRPr="00222B7C">
        <w:rPr>
          <w:rFonts w:ascii="Times New Roman" w:hAnsi="Times New Roman"/>
          <w:color w:val="auto"/>
          <w:sz w:val="22"/>
          <w:szCs w:val="22"/>
          <w:lang w:eastAsia="en-GB"/>
        </w:rPr>
        <w:t xml:space="preserve"> in the </w:t>
      </w:r>
      <w:r w:rsidR="001D212D" w:rsidRPr="00222B7C">
        <w:rPr>
          <w:rFonts w:ascii="Times New Roman" w:hAnsi="Times New Roman"/>
          <w:i/>
          <w:iCs/>
          <w:color w:val="auto"/>
          <w:sz w:val="22"/>
          <w:szCs w:val="22"/>
          <w:lang w:eastAsia="en-GB"/>
        </w:rPr>
        <w:t>Europe 2020 Strategy.</w:t>
      </w:r>
      <w:r w:rsidR="001D212D" w:rsidRPr="00222B7C">
        <w:rPr>
          <w:rStyle w:val="FootnoteReference"/>
          <w:rFonts w:ascii="Times New Roman" w:hAnsi="Times New Roman"/>
          <w:i/>
          <w:iCs/>
          <w:color w:val="auto"/>
          <w:sz w:val="22"/>
          <w:szCs w:val="22"/>
          <w:lang w:eastAsia="en-GB"/>
        </w:rPr>
        <w:footnoteReference w:id="4"/>
      </w:r>
      <w:r w:rsidR="001D212D" w:rsidRPr="00222B7C">
        <w:rPr>
          <w:rFonts w:ascii="Times New Roman" w:hAnsi="Times New Roman"/>
          <w:color w:val="auto"/>
          <w:sz w:val="22"/>
          <w:szCs w:val="22"/>
          <w:lang w:eastAsia="en-GB"/>
        </w:rPr>
        <w:t xml:space="preserve"> Additionally, both the European Council and the European Parliament have agreed that all sectors of the economy should contribute to reducing emissions</w:t>
      </w:r>
      <w:r w:rsidR="001D212D" w:rsidRPr="00222B7C">
        <w:rPr>
          <w:rStyle w:val="FootnoteReference"/>
          <w:rFonts w:ascii="Times New Roman" w:hAnsi="Times New Roman"/>
          <w:color w:val="auto"/>
          <w:sz w:val="22"/>
          <w:szCs w:val="22"/>
          <w:lang w:eastAsia="en-GB"/>
        </w:rPr>
        <w:footnoteReference w:id="5"/>
      </w:r>
      <w:r w:rsidR="001D212D" w:rsidRPr="00222B7C">
        <w:rPr>
          <w:rFonts w:ascii="Times New Roman" w:hAnsi="Times New Roman"/>
          <w:color w:val="auto"/>
          <w:sz w:val="22"/>
          <w:szCs w:val="22"/>
          <w:lang w:eastAsia="en-GB"/>
        </w:rPr>
        <w:t>.</w:t>
      </w:r>
    </w:p>
    <w:p w:rsidR="001D212D" w:rsidRPr="00351C87" w:rsidRDefault="00351C87" w:rsidP="00351C87">
      <w:pPr>
        <w:overflowPunct/>
        <w:spacing w:after="130" w:line="240" w:lineRule="auto"/>
        <w:ind w:hanging="851"/>
        <w:textAlignment w:val="auto"/>
        <w:rPr>
          <w:rFonts w:ascii="Times New Roman" w:hAnsi="Times New Roman"/>
          <w:color w:val="auto"/>
          <w:sz w:val="22"/>
          <w:szCs w:val="22"/>
          <w:lang w:eastAsia="en-GB"/>
        </w:rPr>
      </w:pPr>
      <w:r w:rsidRPr="00351C87">
        <w:rPr>
          <w:rFonts w:ascii="Times New Roman" w:hAnsi="Times New Roman"/>
          <w:i/>
          <w:color w:val="auto"/>
          <w:sz w:val="22"/>
          <w:szCs w:val="22"/>
          <w:lang w:eastAsia="en-GB"/>
        </w:rPr>
        <w:t>1.3</w:t>
      </w:r>
      <w:r w:rsidR="001D212D" w:rsidRPr="00351C87">
        <w:rPr>
          <w:rFonts w:ascii="Times New Roman" w:hAnsi="Times New Roman"/>
          <w:i/>
          <w:color w:val="auto"/>
          <w:sz w:val="22"/>
          <w:szCs w:val="22"/>
          <w:lang w:eastAsia="en-GB"/>
        </w:rPr>
        <w:tab/>
      </w:r>
      <w:r w:rsidR="001D212D" w:rsidRPr="00351C87">
        <w:rPr>
          <w:rFonts w:ascii="Times New Roman" w:hAnsi="Times New Roman"/>
          <w:color w:val="auto"/>
          <w:sz w:val="22"/>
          <w:szCs w:val="22"/>
          <w:lang w:eastAsia="en-GB"/>
        </w:rPr>
        <w:t>In 2010</w:t>
      </w:r>
      <w:r w:rsidR="006B3C5C">
        <w:rPr>
          <w:rFonts w:ascii="Times New Roman" w:hAnsi="Times New Roman"/>
          <w:color w:val="auto"/>
          <w:sz w:val="22"/>
          <w:szCs w:val="22"/>
          <w:lang w:eastAsia="en-GB"/>
        </w:rPr>
        <w:t>,</w:t>
      </w:r>
      <w:r w:rsidR="001D212D" w:rsidRPr="00351C87">
        <w:rPr>
          <w:rFonts w:ascii="Times New Roman" w:hAnsi="Times New Roman"/>
          <w:color w:val="auto"/>
          <w:sz w:val="22"/>
          <w:szCs w:val="22"/>
          <w:lang w:eastAsia="en-GB"/>
        </w:rPr>
        <w:t xml:space="preserve"> the total CO</w:t>
      </w:r>
      <w:r w:rsidR="001D212D" w:rsidRPr="00351C87">
        <w:rPr>
          <w:rFonts w:ascii="Times New Roman" w:hAnsi="Times New Roman"/>
          <w:color w:val="auto"/>
          <w:sz w:val="22"/>
          <w:szCs w:val="22"/>
          <w:vertAlign w:val="subscript"/>
          <w:lang w:eastAsia="en-GB"/>
        </w:rPr>
        <w:t>2</w:t>
      </w:r>
      <w:r w:rsidR="001D212D" w:rsidRPr="00351C87">
        <w:rPr>
          <w:rFonts w:ascii="Times New Roman" w:hAnsi="Times New Roman"/>
          <w:color w:val="auto"/>
          <w:sz w:val="22"/>
          <w:szCs w:val="22"/>
          <w:lang w:eastAsia="en-GB"/>
        </w:rPr>
        <w:t xml:space="preserve"> emissions related to European maritime transport activities (including intra EU routes, incoming voyages to the EU and outgoing voyages from the EU) were estimated to be of the order of 180 Mt CO</w:t>
      </w:r>
      <w:r w:rsidR="001D212D" w:rsidRPr="00351C87">
        <w:rPr>
          <w:rFonts w:ascii="Times New Roman" w:hAnsi="Times New Roman"/>
          <w:color w:val="auto"/>
          <w:sz w:val="22"/>
          <w:szCs w:val="22"/>
          <w:vertAlign w:val="subscript"/>
          <w:lang w:eastAsia="en-GB"/>
        </w:rPr>
        <w:t>2</w:t>
      </w:r>
      <w:r w:rsidR="001D212D" w:rsidRPr="00351C87">
        <w:rPr>
          <w:rFonts w:ascii="Times New Roman" w:hAnsi="Times New Roman"/>
          <w:color w:val="auto"/>
          <w:sz w:val="22"/>
          <w:szCs w:val="22"/>
          <w:lang w:eastAsia="en-GB"/>
        </w:rPr>
        <w:t>.  The 2011 Commission White Paper on Transport</w:t>
      </w:r>
      <w:r w:rsidR="001D212D" w:rsidRPr="00351C87">
        <w:rPr>
          <w:rStyle w:val="FootnoteReference"/>
          <w:rFonts w:ascii="Times New Roman" w:hAnsi="Times New Roman"/>
          <w:color w:val="auto"/>
          <w:sz w:val="22"/>
          <w:szCs w:val="22"/>
          <w:lang w:eastAsia="en-GB"/>
        </w:rPr>
        <w:footnoteReference w:id="6"/>
      </w:r>
      <w:r w:rsidR="001D212D" w:rsidRPr="00351C87">
        <w:rPr>
          <w:rFonts w:ascii="Times New Roman" w:hAnsi="Times New Roman"/>
          <w:color w:val="auto"/>
          <w:sz w:val="22"/>
          <w:szCs w:val="22"/>
          <w:lang w:eastAsia="en-GB"/>
        </w:rPr>
        <w:t xml:space="preserve"> states that EU CO</w:t>
      </w:r>
      <w:r w:rsidR="001D212D" w:rsidRPr="00351C87">
        <w:rPr>
          <w:rFonts w:ascii="Times New Roman" w:hAnsi="Times New Roman"/>
          <w:color w:val="auto"/>
          <w:sz w:val="22"/>
          <w:szCs w:val="22"/>
          <w:vertAlign w:val="subscript"/>
          <w:lang w:eastAsia="en-GB"/>
        </w:rPr>
        <w:t>2</w:t>
      </w:r>
      <w:r w:rsidR="001D212D" w:rsidRPr="00351C87">
        <w:rPr>
          <w:rFonts w:ascii="Times New Roman" w:hAnsi="Times New Roman"/>
          <w:color w:val="auto"/>
          <w:sz w:val="22"/>
          <w:szCs w:val="22"/>
          <w:lang w:eastAsia="en-GB"/>
        </w:rPr>
        <w:t xml:space="preserve"> emissions from maritime transport should be reduced by 40% (if feasible 50%) by 2050</w:t>
      </w:r>
      <w:r>
        <w:rPr>
          <w:rFonts w:ascii="Times New Roman" w:hAnsi="Times New Roman"/>
          <w:color w:val="auto"/>
          <w:sz w:val="22"/>
          <w:szCs w:val="22"/>
          <w:lang w:eastAsia="en-GB"/>
        </w:rPr>
        <w:t>,</w:t>
      </w:r>
      <w:r w:rsidR="001D212D" w:rsidRPr="00351C87">
        <w:rPr>
          <w:rFonts w:ascii="Times New Roman" w:hAnsi="Times New Roman"/>
          <w:color w:val="auto"/>
          <w:sz w:val="22"/>
          <w:szCs w:val="22"/>
          <w:lang w:eastAsia="en-GB"/>
        </w:rPr>
        <w:t xml:space="preserve"> compared to 2005 levels.  Despite the introduction of minimum energy efficiency standards for certain categories of new ships ("Energy Efficiency Design Index", EEDI) by the International Maritime Organisation (IMO) in 2011</w:t>
      </w:r>
      <w:r w:rsidR="001D212D" w:rsidRPr="00351C87">
        <w:rPr>
          <w:rStyle w:val="FootnoteReference"/>
          <w:rFonts w:ascii="Times New Roman" w:hAnsi="Times New Roman"/>
          <w:color w:val="auto"/>
          <w:sz w:val="22"/>
          <w:szCs w:val="22"/>
          <w:lang w:eastAsia="en-GB"/>
        </w:rPr>
        <w:footnoteReference w:id="7"/>
      </w:r>
      <w:r w:rsidR="001D212D" w:rsidRPr="00351C87">
        <w:rPr>
          <w:rFonts w:ascii="Times New Roman" w:hAnsi="Times New Roman"/>
          <w:color w:val="auto"/>
          <w:sz w:val="22"/>
          <w:szCs w:val="22"/>
          <w:lang w:eastAsia="en-GB"/>
        </w:rPr>
        <w:t>, and the availability of operational measures and existing technologies, emissions are expected to increase, driven by continued increase in demand for maritime transport due to growth in world trade.  Unfortunately, market barriers exist that inhibit the uptake of such technologies and operational measures; such barriers include the lack of reliable information on fuel efficiency of ships or on technologies for retrofitting ships, lack of access to financing of investments into ship efficiency, and split incentives as ship owners do not benefit from their investments as fuel bills are paid by ship operators.</w:t>
      </w:r>
    </w:p>
    <w:p w:rsidR="001D212D" w:rsidRPr="00351C87" w:rsidRDefault="00351C87" w:rsidP="00351C87">
      <w:pPr>
        <w:overflowPunct/>
        <w:spacing w:after="130" w:line="240" w:lineRule="auto"/>
        <w:ind w:hanging="851"/>
        <w:textAlignment w:val="auto"/>
        <w:rPr>
          <w:rFonts w:ascii="Times New Roman" w:hAnsi="Times New Roman"/>
          <w:iCs/>
          <w:color w:val="auto"/>
          <w:sz w:val="22"/>
          <w:szCs w:val="22"/>
          <w:lang w:eastAsia="en-GB"/>
        </w:rPr>
      </w:pPr>
      <w:r w:rsidRPr="00351C87">
        <w:rPr>
          <w:rFonts w:ascii="Times New Roman" w:hAnsi="Times New Roman"/>
          <w:i/>
          <w:color w:val="auto"/>
          <w:sz w:val="22"/>
          <w:szCs w:val="22"/>
          <w:lang w:eastAsia="en-GB"/>
        </w:rPr>
        <w:t xml:space="preserve">1.4 </w:t>
      </w:r>
      <w:r w:rsidRPr="00351C87">
        <w:rPr>
          <w:rFonts w:ascii="Times New Roman" w:hAnsi="Times New Roman"/>
          <w:i/>
          <w:color w:val="auto"/>
          <w:sz w:val="22"/>
          <w:szCs w:val="22"/>
          <w:lang w:eastAsia="en-GB"/>
        </w:rPr>
        <w:tab/>
      </w:r>
      <w:r w:rsidR="001D212D" w:rsidRPr="00351C87">
        <w:rPr>
          <w:rFonts w:ascii="Times New Roman" w:hAnsi="Times New Roman"/>
          <w:color w:val="auto"/>
          <w:sz w:val="22"/>
          <w:szCs w:val="22"/>
          <w:lang w:eastAsia="en-GB"/>
        </w:rPr>
        <w:t>The projected increase of CO</w:t>
      </w:r>
      <w:r w:rsidR="001D212D" w:rsidRPr="00351C87">
        <w:rPr>
          <w:rFonts w:ascii="Times New Roman" w:hAnsi="Times New Roman"/>
          <w:color w:val="auto"/>
          <w:sz w:val="22"/>
          <w:szCs w:val="22"/>
          <w:vertAlign w:val="subscript"/>
          <w:lang w:eastAsia="en-GB"/>
        </w:rPr>
        <w:t>2</w:t>
      </w:r>
      <w:r w:rsidR="001D212D" w:rsidRPr="00351C87">
        <w:rPr>
          <w:rFonts w:ascii="Times New Roman" w:hAnsi="Times New Roman"/>
          <w:color w:val="auto"/>
          <w:sz w:val="22"/>
          <w:szCs w:val="22"/>
          <w:lang w:eastAsia="en-GB"/>
        </w:rPr>
        <w:t xml:space="preserve"> emissions from shipping is not in line with the EU objectives. Furthermore, at the EU level, international</w:t>
      </w:r>
      <w:r w:rsidR="001D212D" w:rsidRPr="00351C87">
        <w:rPr>
          <w:rFonts w:ascii="Times New Roman" w:hAnsi="Times New Roman"/>
          <w:iCs/>
          <w:color w:val="auto"/>
          <w:sz w:val="22"/>
          <w:szCs w:val="22"/>
          <w:lang w:eastAsia="en-GB"/>
        </w:rPr>
        <w:t xml:space="preserve"> </w:t>
      </w:r>
      <w:r w:rsidR="001D212D" w:rsidRPr="00351C87">
        <w:rPr>
          <w:rFonts w:ascii="Times New Roman" w:hAnsi="Times New Roman"/>
          <w:color w:val="auto"/>
          <w:sz w:val="22"/>
          <w:szCs w:val="22"/>
          <w:lang w:eastAsia="en-GB"/>
        </w:rPr>
        <w:t>maritime transport remains the only transport mode not included in the EU's GHG emissions reduction commitment which to-date requires additional efforts from all other sectors.</w:t>
      </w:r>
    </w:p>
    <w:p w:rsidR="001D212D" w:rsidRPr="00124656" w:rsidRDefault="00351C87" w:rsidP="00351C87">
      <w:pPr>
        <w:overflowPunct/>
        <w:spacing w:after="130" w:line="240" w:lineRule="auto"/>
        <w:ind w:hanging="851"/>
        <w:textAlignment w:val="auto"/>
        <w:rPr>
          <w:rFonts w:ascii="Times New Roman" w:hAnsi="Times New Roman"/>
          <w:i/>
          <w:iCs/>
          <w:color w:val="auto"/>
          <w:sz w:val="22"/>
          <w:szCs w:val="22"/>
          <w:lang w:eastAsia="en-GB"/>
        </w:rPr>
      </w:pPr>
      <w:r>
        <w:rPr>
          <w:rFonts w:ascii="Times New Roman" w:hAnsi="Times New Roman"/>
          <w:i/>
          <w:iCs/>
          <w:color w:val="auto"/>
          <w:sz w:val="22"/>
          <w:szCs w:val="22"/>
          <w:lang w:eastAsia="en-GB"/>
        </w:rPr>
        <w:t xml:space="preserve">1.5 </w:t>
      </w:r>
      <w:r>
        <w:rPr>
          <w:rFonts w:ascii="Times New Roman" w:hAnsi="Times New Roman"/>
          <w:i/>
          <w:iCs/>
          <w:color w:val="auto"/>
          <w:sz w:val="22"/>
          <w:szCs w:val="22"/>
          <w:lang w:eastAsia="en-GB"/>
        </w:rPr>
        <w:tab/>
      </w:r>
      <w:r w:rsidR="001D212D" w:rsidRPr="00222B7C">
        <w:rPr>
          <w:rFonts w:ascii="Times New Roman" w:hAnsi="Times New Roman"/>
          <w:color w:val="auto"/>
          <w:sz w:val="22"/>
          <w:szCs w:val="22"/>
          <w:lang w:eastAsia="en-GB"/>
        </w:rPr>
        <w:t xml:space="preserve">The Council and the Parliament recalled an earlier commitment to take action in the Climate and Energy Package adopted on 23 April 2009: </w:t>
      </w:r>
      <w:r w:rsidR="001D212D" w:rsidRPr="00222B7C">
        <w:rPr>
          <w:rFonts w:ascii="Times New Roman" w:hAnsi="Times New Roman"/>
          <w:i/>
          <w:iCs/>
          <w:color w:val="auto"/>
          <w:sz w:val="22"/>
          <w:szCs w:val="22"/>
          <w:lang w:eastAsia="en-GB"/>
        </w:rPr>
        <w:t>"in the event that no international agreement</w:t>
      </w:r>
      <w:r w:rsidR="001D212D" w:rsidRPr="00222B7C">
        <w:rPr>
          <w:rFonts w:ascii="Times New Roman" w:hAnsi="Times New Roman"/>
          <w:color w:val="auto"/>
          <w:sz w:val="22"/>
          <w:szCs w:val="22"/>
          <w:lang w:eastAsia="en-GB"/>
        </w:rPr>
        <w:t xml:space="preserve"> </w:t>
      </w:r>
      <w:r w:rsidR="001D212D" w:rsidRPr="00222B7C">
        <w:rPr>
          <w:rFonts w:ascii="Times New Roman" w:hAnsi="Times New Roman"/>
          <w:i/>
          <w:iCs/>
          <w:color w:val="auto"/>
          <w:sz w:val="22"/>
          <w:szCs w:val="22"/>
          <w:lang w:eastAsia="en-GB"/>
        </w:rPr>
        <w:t>which includes international maritime emissions in its reduction targets through the</w:t>
      </w:r>
      <w:r w:rsidR="001D212D" w:rsidRPr="00222B7C">
        <w:rPr>
          <w:rFonts w:ascii="Times New Roman" w:hAnsi="Times New Roman"/>
          <w:color w:val="auto"/>
          <w:sz w:val="22"/>
          <w:szCs w:val="22"/>
          <w:lang w:eastAsia="en-GB"/>
        </w:rPr>
        <w:t xml:space="preserve"> </w:t>
      </w:r>
      <w:r w:rsidR="001D212D" w:rsidRPr="00222B7C">
        <w:rPr>
          <w:rFonts w:ascii="Times New Roman" w:hAnsi="Times New Roman"/>
          <w:i/>
          <w:iCs/>
          <w:color w:val="auto"/>
          <w:sz w:val="22"/>
          <w:szCs w:val="22"/>
          <w:lang w:eastAsia="en-GB"/>
        </w:rPr>
        <w:t>International Maritime Organisation has been approved by Member States or no such</w:t>
      </w:r>
      <w:r w:rsidR="001D212D" w:rsidRPr="00222B7C">
        <w:rPr>
          <w:rFonts w:ascii="Times New Roman" w:hAnsi="Times New Roman"/>
          <w:color w:val="auto"/>
          <w:sz w:val="22"/>
          <w:szCs w:val="22"/>
          <w:lang w:eastAsia="en-GB"/>
        </w:rPr>
        <w:t xml:space="preserve"> </w:t>
      </w:r>
      <w:r w:rsidR="001D212D" w:rsidRPr="00222B7C">
        <w:rPr>
          <w:rFonts w:ascii="Times New Roman" w:hAnsi="Times New Roman"/>
          <w:i/>
          <w:iCs/>
          <w:color w:val="auto"/>
          <w:sz w:val="22"/>
          <w:szCs w:val="22"/>
          <w:lang w:eastAsia="en-GB"/>
        </w:rPr>
        <w:t>agreement through the UNFCCC has been approved by the Community by 31 December</w:t>
      </w:r>
      <w:r w:rsidR="001D212D" w:rsidRPr="00222B7C">
        <w:rPr>
          <w:rFonts w:ascii="Times New Roman" w:hAnsi="Times New Roman"/>
          <w:color w:val="auto"/>
          <w:sz w:val="22"/>
          <w:szCs w:val="22"/>
          <w:lang w:eastAsia="en-GB"/>
        </w:rPr>
        <w:t xml:space="preserve"> </w:t>
      </w:r>
      <w:r w:rsidR="001D212D" w:rsidRPr="00222B7C">
        <w:rPr>
          <w:rFonts w:ascii="Times New Roman" w:hAnsi="Times New Roman"/>
          <w:i/>
          <w:iCs/>
          <w:color w:val="auto"/>
          <w:sz w:val="22"/>
          <w:szCs w:val="22"/>
          <w:lang w:eastAsia="en-GB"/>
        </w:rPr>
        <w:t>2011, the Commission should make a proposal to include international maritime emissions in</w:t>
      </w:r>
      <w:r w:rsidR="001D212D" w:rsidRPr="00222B7C">
        <w:rPr>
          <w:rFonts w:ascii="Times New Roman" w:hAnsi="Times New Roman"/>
          <w:color w:val="auto"/>
          <w:sz w:val="22"/>
          <w:szCs w:val="22"/>
          <w:lang w:eastAsia="en-GB"/>
        </w:rPr>
        <w:t xml:space="preserve"> </w:t>
      </w:r>
      <w:r w:rsidR="001D212D" w:rsidRPr="00222B7C">
        <w:rPr>
          <w:rFonts w:ascii="Times New Roman" w:hAnsi="Times New Roman"/>
          <w:i/>
          <w:iCs/>
          <w:color w:val="auto"/>
          <w:sz w:val="22"/>
          <w:szCs w:val="22"/>
          <w:lang w:eastAsia="en-GB"/>
        </w:rPr>
        <w:t>the Community reduction commitment, with the aim of the proposed act entering into force by</w:t>
      </w:r>
      <w:r w:rsidR="001D212D" w:rsidRPr="00222B7C">
        <w:rPr>
          <w:rFonts w:ascii="Times New Roman" w:hAnsi="Times New Roman"/>
          <w:color w:val="auto"/>
          <w:sz w:val="22"/>
          <w:szCs w:val="22"/>
          <w:lang w:eastAsia="en-GB"/>
        </w:rPr>
        <w:t xml:space="preserve"> </w:t>
      </w:r>
      <w:r w:rsidR="001D212D" w:rsidRPr="00222B7C">
        <w:rPr>
          <w:rFonts w:ascii="Times New Roman" w:hAnsi="Times New Roman"/>
          <w:i/>
          <w:iCs/>
          <w:color w:val="auto"/>
          <w:sz w:val="22"/>
          <w:szCs w:val="22"/>
          <w:lang w:eastAsia="en-GB"/>
        </w:rPr>
        <w:t>2013. Such a proposal should minimise any negative impact on the Community’s</w:t>
      </w:r>
      <w:r w:rsidR="001D212D" w:rsidRPr="00222B7C">
        <w:rPr>
          <w:rFonts w:ascii="Times New Roman" w:hAnsi="Times New Roman"/>
          <w:color w:val="auto"/>
          <w:sz w:val="22"/>
          <w:szCs w:val="22"/>
          <w:lang w:eastAsia="en-GB"/>
        </w:rPr>
        <w:t xml:space="preserve"> </w:t>
      </w:r>
      <w:r w:rsidR="001D212D" w:rsidRPr="00222B7C">
        <w:rPr>
          <w:rFonts w:ascii="Times New Roman" w:hAnsi="Times New Roman"/>
          <w:i/>
          <w:iCs/>
          <w:color w:val="auto"/>
          <w:sz w:val="22"/>
          <w:szCs w:val="22"/>
          <w:lang w:eastAsia="en-GB"/>
        </w:rPr>
        <w:t>competitiveness while taking into account the potential environmental benefits."</w:t>
      </w:r>
      <w:r w:rsidR="001D212D" w:rsidRPr="00222B7C">
        <w:rPr>
          <w:rStyle w:val="FootnoteReference"/>
          <w:rFonts w:ascii="Times New Roman" w:hAnsi="Times New Roman"/>
          <w:i/>
          <w:iCs/>
          <w:color w:val="auto"/>
          <w:sz w:val="22"/>
          <w:szCs w:val="22"/>
          <w:lang w:eastAsia="en-GB"/>
        </w:rPr>
        <w:footnoteReference w:id="8"/>
      </w:r>
      <w:r w:rsidR="001D212D" w:rsidRPr="00222B7C">
        <w:rPr>
          <w:rFonts w:ascii="Times New Roman" w:hAnsi="Times New Roman"/>
          <w:color w:val="auto"/>
          <w:sz w:val="22"/>
          <w:szCs w:val="22"/>
          <w:lang w:eastAsia="en-GB"/>
        </w:rPr>
        <w:t xml:space="preserve"> </w:t>
      </w:r>
      <w:r w:rsidR="001D212D">
        <w:rPr>
          <w:rFonts w:ascii="Times New Roman" w:hAnsi="Times New Roman"/>
          <w:color w:val="auto"/>
          <w:sz w:val="22"/>
          <w:szCs w:val="22"/>
          <w:lang w:eastAsia="en-GB"/>
        </w:rPr>
        <w:t xml:space="preserve"> The 31 December 2011</w:t>
      </w:r>
      <w:r w:rsidR="001D212D" w:rsidRPr="00222B7C">
        <w:rPr>
          <w:rFonts w:ascii="Times New Roman" w:hAnsi="Times New Roman"/>
          <w:color w:val="auto"/>
          <w:sz w:val="22"/>
          <w:szCs w:val="22"/>
          <w:lang w:eastAsia="en-GB"/>
        </w:rPr>
        <w:t xml:space="preserve"> deadline has passed without sufficient international action </w:t>
      </w:r>
      <w:r w:rsidR="001D212D">
        <w:rPr>
          <w:rFonts w:ascii="Times New Roman" w:hAnsi="Times New Roman"/>
          <w:color w:val="auto"/>
          <w:sz w:val="22"/>
          <w:szCs w:val="22"/>
          <w:lang w:eastAsia="en-GB"/>
        </w:rPr>
        <w:t>that would</w:t>
      </w:r>
      <w:r w:rsidR="001D212D" w:rsidRPr="00222B7C">
        <w:rPr>
          <w:rFonts w:ascii="Times New Roman" w:hAnsi="Times New Roman"/>
          <w:color w:val="auto"/>
          <w:sz w:val="22"/>
          <w:szCs w:val="22"/>
          <w:lang w:eastAsia="en-GB"/>
        </w:rPr>
        <w:t xml:space="preserve"> deliver absolute emission reductions compared to base years if forecasted growth in traffic will be realised. Therefore, the Commission launched preparatory activities in view of addressing greenhouse gas emissions from international maritime transport.</w:t>
      </w:r>
    </w:p>
    <w:p w:rsidR="001D212D" w:rsidRDefault="00351C87" w:rsidP="00893980">
      <w:pPr>
        <w:overflowPunct/>
        <w:spacing w:after="130" w:line="240" w:lineRule="auto"/>
        <w:ind w:hanging="851"/>
        <w:textAlignment w:val="auto"/>
        <w:rPr>
          <w:rFonts w:ascii="Times New Roman" w:hAnsi="Times New Roman"/>
          <w:color w:val="auto"/>
          <w:sz w:val="22"/>
          <w:szCs w:val="22"/>
          <w:lang w:eastAsia="en-GB"/>
        </w:rPr>
      </w:pPr>
      <w:r>
        <w:rPr>
          <w:rFonts w:ascii="Times New Roman" w:hAnsi="Times New Roman"/>
          <w:i/>
          <w:iCs/>
          <w:color w:val="auto"/>
          <w:sz w:val="22"/>
          <w:szCs w:val="22"/>
          <w:lang w:eastAsia="en-GB"/>
        </w:rPr>
        <w:t>1.6</w:t>
      </w:r>
      <w:r>
        <w:rPr>
          <w:rFonts w:ascii="Times New Roman" w:hAnsi="Times New Roman"/>
          <w:i/>
          <w:iCs/>
          <w:color w:val="auto"/>
          <w:sz w:val="22"/>
          <w:szCs w:val="22"/>
          <w:lang w:eastAsia="en-GB"/>
        </w:rPr>
        <w:tab/>
      </w:r>
      <w:r w:rsidR="006B3C5C">
        <w:rPr>
          <w:rFonts w:ascii="Times New Roman" w:hAnsi="Times New Roman"/>
          <w:iCs/>
          <w:color w:val="auto"/>
          <w:sz w:val="22"/>
          <w:szCs w:val="22"/>
          <w:lang w:eastAsia="en-GB"/>
        </w:rPr>
        <w:t xml:space="preserve">The </w:t>
      </w:r>
      <w:r w:rsidR="001D212D">
        <w:rPr>
          <w:rFonts w:ascii="Times New Roman" w:hAnsi="Times New Roman"/>
          <w:color w:val="auto"/>
          <w:sz w:val="22"/>
          <w:szCs w:val="22"/>
          <w:lang w:eastAsia="en-GB"/>
        </w:rPr>
        <w:t xml:space="preserve">Commission Communication </w:t>
      </w:r>
      <w:r w:rsidR="006B3C5C">
        <w:rPr>
          <w:rFonts w:ascii="Times New Roman" w:hAnsi="Times New Roman"/>
          <w:color w:val="auto"/>
          <w:sz w:val="22"/>
          <w:szCs w:val="22"/>
          <w:lang w:eastAsia="en-GB"/>
        </w:rPr>
        <w:t>on i</w:t>
      </w:r>
      <w:r w:rsidR="001D212D" w:rsidRPr="00893980">
        <w:rPr>
          <w:rFonts w:ascii="Times New Roman" w:hAnsi="Times New Roman"/>
          <w:color w:val="auto"/>
          <w:sz w:val="22"/>
          <w:szCs w:val="22"/>
          <w:lang w:eastAsia="en-GB"/>
        </w:rPr>
        <w:t>ntegrating maritime transport emissions in the EU’s greenhouse gas reduction policies</w:t>
      </w:r>
      <w:r w:rsidR="006B3C5C">
        <w:rPr>
          <w:rFonts w:ascii="Times New Roman" w:hAnsi="Times New Roman"/>
          <w:color w:val="auto"/>
          <w:sz w:val="22"/>
          <w:szCs w:val="22"/>
          <w:lang w:eastAsia="en-GB"/>
        </w:rPr>
        <w:t xml:space="preserve"> (COM (2013) 479)</w:t>
      </w:r>
      <w:r w:rsidR="001D212D" w:rsidRPr="00893980">
        <w:rPr>
          <w:rFonts w:ascii="Times New Roman" w:hAnsi="Times New Roman"/>
          <w:color w:val="auto"/>
          <w:sz w:val="22"/>
          <w:szCs w:val="22"/>
          <w:lang w:eastAsia="en-GB"/>
        </w:rPr>
        <w:t xml:space="preserve">, </w:t>
      </w:r>
      <w:r w:rsidR="001D212D">
        <w:rPr>
          <w:rFonts w:ascii="Times New Roman" w:hAnsi="Times New Roman"/>
          <w:color w:val="auto"/>
          <w:sz w:val="22"/>
          <w:szCs w:val="22"/>
          <w:lang w:eastAsia="en-GB"/>
        </w:rPr>
        <w:t xml:space="preserve">proposes a three-step approach for the inclusion of maritime GHG emissions in the EU’s reduction commitment.  The first step would be the implementation of a robust and harmonised </w:t>
      </w:r>
      <w:r w:rsidR="00893980">
        <w:rPr>
          <w:rFonts w:ascii="Times New Roman" w:hAnsi="Times New Roman"/>
          <w:color w:val="auto"/>
          <w:sz w:val="22"/>
          <w:szCs w:val="22"/>
          <w:lang w:eastAsia="en-GB"/>
        </w:rPr>
        <w:t>M</w:t>
      </w:r>
      <w:r w:rsidR="001D212D">
        <w:rPr>
          <w:rFonts w:ascii="Times New Roman" w:hAnsi="Times New Roman"/>
          <w:color w:val="auto"/>
          <w:sz w:val="22"/>
          <w:szCs w:val="22"/>
          <w:lang w:eastAsia="en-GB"/>
        </w:rPr>
        <w:t>onitoring</w:t>
      </w:r>
      <w:r w:rsidR="00893980">
        <w:rPr>
          <w:rFonts w:ascii="Times New Roman" w:hAnsi="Times New Roman"/>
          <w:color w:val="auto"/>
          <w:sz w:val="22"/>
          <w:szCs w:val="22"/>
          <w:lang w:eastAsia="en-GB"/>
        </w:rPr>
        <w:t>,</w:t>
      </w:r>
      <w:r w:rsidR="001D212D">
        <w:rPr>
          <w:rFonts w:ascii="Times New Roman" w:hAnsi="Times New Roman"/>
          <w:color w:val="auto"/>
          <w:sz w:val="22"/>
          <w:szCs w:val="22"/>
          <w:lang w:eastAsia="en-GB"/>
        </w:rPr>
        <w:t xml:space="preserve"> </w:t>
      </w:r>
      <w:r w:rsidR="00893980">
        <w:rPr>
          <w:rFonts w:ascii="Times New Roman" w:hAnsi="Times New Roman"/>
          <w:color w:val="auto"/>
          <w:sz w:val="22"/>
          <w:szCs w:val="22"/>
          <w:lang w:eastAsia="en-GB"/>
        </w:rPr>
        <w:t>R</w:t>
      </w:r>
      <w:r w:rsidR="001D212D">
        <w:rPr>
          <w:rFonts w:ascii="Times New Roman" w:hAnsi="Times New Roman"/>
          <w:color w:val="auto"/>
          <w:sz w:val="22"/>
          <w:szCs w:val="22"/>
          <w:lang w:eastAsia="en-GB"/>
        </w:rPr>
        <w:t>eporting</w:t>
      </w:r>
      <w:r w:rsidR="00893980">
        <w:rPr>
          <w:rFonts w:ascii="Times New Roman" w:hAnsi="Times New Roman"/>
          <w:color w:val="auto"/>
          <w:sz w:val="22"/>
          <w:szCs w:val="22"/>
          <w:lang w:eastAsia="en-GB"/>
        </w:rPr>
        <w:t xml:space="preserve"> and Verification</w:t>
      </w:r>
      <w:r w:rsidR="001D212D">
        <w:rPr>
          <w:rFonts w:ascii="Times New Roman" w:hAnsi="Times New Roman"/>
          <w:color w:val="auto"/>
          <w:sz w:val="22"/>
          <w:szCs w:val="22"/>
          <w:lang w:eastAsia="en-GB"/>
        </w:rPr>
        <w:t xml:space="preserve"> (MRV) system that serves to gather reliable data on GHG emissions from the sector, as a basis for policy actions that may need to be taken in future. The </w:t>
      </w:r>
      <w:r w:rsidR="00893980">
        <w:rPr>
          <w:rFonts w:ascii="Times New Roman" w:hAnsi="Times New Roman"/>
          <w:color w:val="auto"/>
          <w:sz w:val="22"/>
          <w:szCs w:val="22"/>
          <w:lang w:eastAsia="en-GB"/>
        </w:rPr>
        <w:t>C</w:t>
      </w:r>
      <w:r w:rsidR="001D212D">
        <w:rPr>
          <w:rFonts w:ascii="Times New Roman" w:hAnsi="Times New Roman"/>
          <w:color w:val="auto"/>
          <w:sz w:val="22"/>
          <w:szCs w:val="22"/>
          <w:lang w:eastAsia="en-GB"/>
        </w:rPr>
        <w:t>ommunication issue</w:t>
      </w:r>
      <w:r w:rsidR="00893980">
        <w:rPr>
          <w:rFonts w:ascii="Times New Roman" w:hAnsi="Times New Roman"/>
          <w:color w:val="auto"/>
          <w:sz w:val="22"/>
          <w:szCs w:val="22"/>
          <w:lang w:eastAsia="en-GB"/>
        </w:rPr>
        <w:t>d</w:t>
      </w:r>
      <w:r w:rsidR="001D212D">
        <w:rPr>
          <w:rFonts w:ascii="Times New Roman" w:hAnsi="Times New Roman"/>
          <w:color w:val="auto"/>
          <w:sz w:val="22"/>
          <w:szCs w:val="22"/>
          <w:lang w:eastAsia="en-GB"/>
        </w:rPr>
        <w:t xml:space="preserve"> by the Commission states that by itself, MRV is projected to already be able to contribute to a 2% reduction in emissions compared to business-as-usual and cost reductions of up to </w:t>
      </w:r>
      <w:r w:rsidR="001D212D" w:rsidRPr="00222B7C">
        <w:rPr>
          <w:rFonts w:ascii="Times New Roman" w:hAnsi="Times New Roman"/>
          <w:color w:val="auto"/>
          <w:sz w:val="22"/>
          <w:szCs w:val="22"/>
          <w:lang w:eastAsia="en-GB"/>
        </w:rPr>
        <w:t>€1.2 billion by 2030</w:t>
      </w:r>
      <w:r w:rsidR="001D212D">
        <w:rPr>
          <w:rFonts w:ascii="Times New Roman" w:hAnsi="Times New Roman"/>
          <w:color w:val="auto"/>
          <w:sz w:val="22"/>
          <w:szCs w:val="22"/>
          <w:lang w:eastAsia="en-GB"/>
        </w:rPr>
        <w:t>. An EU MRV system could also serve as an example for the implementation of global MRV, with the aim to speed up international discussions.</w:t>
      </w:r>
      <w:r w:rsidR="001D212D" w:rsidRPr="00222B7C">
        <w:rPr>
          <w:rFonts w:ascii="Times New Roman" w:hAnsi="Times New Roman"/>
          <w:color w:val="auto"/>
          <w:sz w:val="22"/>
          <w:szCs w:val="22"/>
          <w:lang w:eastAsia="en-GB"/>
        </w:rPr>
        <w:t xml:space="preserve"> </w:t>
      </w:r>
      <w:r w:rsidR="001D212D">
        <w:rPr>
          <w:rFonts w:ascii="Times New Roman" w:hAnsi="Times New Roman"/>
          <w:color w:val="auto"/>
          <w:sz w:val="22"/>
          <w:szCs w:val="22"/>
          <w:lang w:eastAsia="en-GB"/>
        </w:rPr>
        <w:t>The second step would then be the definition of reduction targets for the sector, followed by the</w:t>
      </w:r>
      <w:r w:rsidR="00893980">
        <w:rPr>
          <w:rFonts w:ascii="Times New Roman" w:hAnsi="Times New Roman"/>
          <w:color w:val="auto"/>
          <w:sz w:val="22"/>
          <w:szCs w:val="22"/>
          <w:lang w:eastAsia="en-GB"/>
        </w:rPr>
        <w:t xml:space="preserve"> third step, being the</w:t>
      </w:r>
      <w:r w:rsidR="001D212D">
        <w:rPr>
          <w:rFonts w:ascii="Times New Roman" w:hAnsi="Times New Roman"/>
          <w:color w:val="auto"/>
          <w:sz w:val="22"/>
          <w:szCs w:val="22"/>
          <w:lang w:eastAsia="en-GB"/>
        </w:rPr>
        <w:t xml:space="preserve"> adoption of a market-based measure in order to achieve the defined targets.  </w:t>
      </w:r>
    </w:p>
    <w:p w:rsidR="001D212D" w:rsidRPr="00222B7C" w:rsidRDefault="00351C87" w:rsidP="00351C87">
      <w:pPr>
        <w:overflowPunct/>
        <w:spacing w:after="130" w:line="240" w:lineRule="auto"/>
        <w:ind w:hanging="851"/>
        <w:textAlignment w:val="auto"/>
        <w:rPr>
          <w:rFonts w:ascii="Times New Roman" w:hAnsi="Times New Roman"/>
          <w:color w:val="auto"/>
          <w:sz w:val="22"/>
          <w:szCs w:val="22"/>
          <w:lang w:eastAsia="en-GB"/>
        </w:rPr>
      </w:pPr>
      <w:r w:rsidRPr="00893980">
        <w:rPr>
          <w:rFonts w:ascii="Times New Roman" w:hAnsi="Times New Roman"/>
          <w:i/>
          <w:color w:val="auto"/>
          <w:sz w:val="22"/>
          <w:szCs w:val="22"/>
          <w:lang w:eastAsia="en-GB"/>
        </w:rPr>
        <w:t>1.7</w:t>
      </w:r>
      <w:r w:rsidR="001D212D" w:rsidRPr="00893980">
        <w:rPr>
          <w:rFonts w:ascii="Times New Roman" w:hAnsi="Times New Roman"/>
          <w:i/>
          <w:color w:val="auto"/>
          <w:sz w:val="22"/>
          <w:szCs w:val="22"/>
          <w:lang w:eastAsia="en-GB"/>
        </w:rPr>
        <w:tab/>
      </w:r>
      <w:r w:rsidR="001D212D">
        <w:rPr>
          <w:rFonts w:ascii="Times New Roman" w:hAnsi="Times New Roman"/>
          <w:color w:val="auto"/>
          <w:sz w:val="22"/>
          <w:szCs w:val="22"/>
          <w:lang w:eastAsia="en-GB"/>
        </w:rPr>
        <w:t>Th</w:t>
      </w:r>
      <w:r w:rsidR="00893980">
        <w:rPr>
          <w:rFonts w:ascii="Times New Roman" w:hAnsi="Times New Roman"/>
          <w:color w:val="auto"/>
          <w:sz w:val="22"/>
          <w:szCs w:val="22"/>
          <w:lang w:eastAsia="en-GB"/>
        </w:rPr>
        <w:t>e</w:t>
      </w:r>
      <w:r w:rsidR="001D212D">
        <w:rPr>
          <w:rFonts w:ascii="Times New Roman" w:hAnsi="Times New Roman"/>
          <w:color w:val="auto"/>
          <w:sz w:val="22"/>
          <w:szCs w:val="22"/>
          <w:lang w:eastAsia="en-GB"/>
        </w:rPr>
        <w:t xml:space="preserve"> </w:t>
      </w:r>
      <w:r w:rsidR="00893980">
        <w:rPr>
          <w:rFonts w:ascii="Times New Roman" w:hAnsi="Times New Roman"/>
          <w:color w:val="auto"/>
          <w:sz w:val="22"/>
          <w:szCs w:val="22"/>
          <w:lang w:eastAsia="en-GB"/>
        </w:rPr>
        <w:t>P</w:t>
      </w:r>
      <w:r w:rsidR="001D212D">
        <w:rPr>
          <w:rFonts w:ascii="Times New Roman" w:hAnsi="Times New Roman"/>
          <w:color w:val="auto"/>
          <w:sz w:val="22"/>
          <w:szCs w:val="22"/>
          <w:lang w:eastAsia="en-GB"/>
        </w:rPr>
        <w:t xml:space="preserve">roposal aims at starting the three-step approach, introducing a </w:t>
      </w:r>
      <w:r w:rsidR="006B3C5C">
        <w:rPr>
          <w:rFonts w:ascii="Times New Roman" w:hAnsi="Times New Roman"/>
          <w:color w:val="auto"/>
          <w:sz w:val="22"/>
          <w:szCs w:val="22"/>
          <w:lang w:eastAsia="en-GB"/>
        </w:rPr>
        <w:t xml:space="preserve">harmonised </w:t>
      </w:r>
      <w:r w:rsidR="001D212D">
        <w:rPr>
          <w:rFonts w:ascii="Times New Roman" w:hAnsi="Times New Roman"/>
          <w:color w:val="auto"/>
          <w:sz w:val="22"/>
          <w:szCs w:val="22"/>
          <w:lang w:eastAsia="en-GB"/>
        </w:rPr>
        <w:t>EU MRV system which at the same time gives space for more discussions and decisions on emission reduction targets, market-based measures and efficiency standards, including discussions at global level in the I</w:t>
      </w:r>
      <w:r w:rsidR="00893980">
        <w:rPr>
          <w:rFonts w:ascii="Times New Roman" w:hAnsi="Times New Roman"/>
          <w:color w:val="auto"/>
          <w:sz w:val="22"/>
          <w:szCs w:val="22"/>
          <w:lang w:eastAsia="en-GB"/>
        </w:rPr>
        <w:t>nternational Maritime Organisation (IMO)</w:t>
      </w:r>
      <w:r w:rsidR="001D212D">
        <w:rPr>
          <w:rFonts w:ascii="Times New Roman" w:hAnsi="Times New Roman"/>
          <w:color w:val="auto"/>
          <w:sz w:val="22"/>
          <w:szCs w:val="22"/>
          <w:lang w:eastAsia="en-GB"/>
        </w:rPr>
        <w:t xml:space="preserve">.  The proposed </w:t>
      </w:r>
      <w:r w:rsidR="00893980">
        <w:rPr>
          <w:rFonts w:ascii="Times New Roman" w:hAnsi="Times New Roman"/>
          <w:color w:val="auto"/>
          <w:sz w:val="22"/>
          <w:szCs w:val="22"/>
          <w:lang w:eastAsia="en-GB"/>
        </w:rPr>
        <w:t>R</w:t>
      </w:r>
      <w:r w:rsidR="001D212D">
        <w:rPr>
          <w:rFonts w:ascii="Times New Roman" w:hAnsi="Times New Roman"/>
          <w:color w:val="auto"/>
          <w:sz w:val="22"/>
          <w:szCs w:val="22"/>
          <w:lang w:eastAsia="en-GB"/>
        </w:rPr>
        <w:t>egulation takes into consideration already existing data on board ships</w:t>
      </w:r>
      <w:r w:rsidR="00A1276A">
        <w:rPr>
          <w:rFonts w:ascii="Times New Roman" w:hAnsi="Times New Roman"/>
          <w:color w:val="auto"/>
          <w:sz w:val="22"/>
          <w:szCs w:val="22"/>
          <w:lang w:eastAsia="en-GB"/>
        </w:rPr>
        <w:t xml:space="preserve"> as</w:t>
      </w:r>
      <w:r w:rsidR="001D212D">
        <w:rPr>
          <w:rFonts w:ascii="Times New Roman" w:hAnsi="Times New Roman"/>
          <w:color w:val="auto"/>
          <w:sz w:val="22"/>
          <w:szCs w:val="22"/>
          <w:lang w:eastAsia="en-GB"/>
        </w:rPr>
        <w:t xml:space="preserve"> the MRV system established can actually be converted into a global MRV system with only limited adjustments being required as it uses internationally required documents and existing structures.  The salient points of the proposed system include:</w:t>
      </w:r>
    </w:p>
    <w:p w:rsidR="001D212D" w:rsidRDefault="00A1276A" w:rsidP="006B3C5C">
      <w:pPr>
        <w:numPr>
          <w:ilvl w:val="0"/>
          <w:numId w:val="37"/>
        </w:numPr>
        <w:tabs>
          <w:tab w:val="left" w:pos="426"/>
        </w:tabs>
        <w:overflowPunct/>
        <w:spacing w:after="130" w:line="240" w:lineRule="auto"/>
        <w:ind w:left="426" w:hanging="426"/>
        <w:textAlignment w:val="auto"/>
        <w:rPr>
          <w:rFonts w:ascii="Times New Roman" w:hAnsi="Times New Roman"/>
          <w:color w:val="auto"/>
          <w:sz w:val="22"/>
          <w:szCs w:val="22"/>
          <w:lang w:eastAsia="en-GB"/>
        </w:rPr>
      </w:pPr>
      <w:r>
        <w:rPr>
          <w:rFonts w:ascii="Times New Roman" w:hAnsi="Times New Roman"/>
          <w:color w:val="auto"/>
          <w:sz w:val="22"/>
          <w:szCs w:val="22"/>
          <w:lang w:eastAsia="en-GB"/>
        </w:rPr>
        <w:t>L</w:t>
      </w:r>
      <w:r w:rsidR="001D212D">
        <w:rPr>
          <w:rFonts w:ascii="Times New Roman" w:hAnsi="Times New Roman"/>
          <w:color w:val="auto"/>
          <w:sz w:val="22"/>
          <w:szCs w:val="22"/>
          <w:lang w:eastAsia="en-GB"/>
        </w:rPr>
        <w:t xml:space="preserve">imited to monitoring and reporting </w:t>
      </w:r>
      <w:r w:rsidR="001D212D" w:rsidRPr="00222B7C">
        <w:rPr>
          <w:rFonts w:ascii="Times New Roman" w:hAnsi="Times New Roman"/>
          <w:color w:val="auto"/>
          <w:sz w:val="22"/>
          <w:szCs w:val="22"/>
          <w:lang w:eastAsia="en-GB"/>
        </w:rPr>
        <w:t>on CO</w:t>
      </w:r>
      <w:r w:rsidR="001D212D" w:rsidRPr="00936CE8">
        <w:rPr>
          <w:rFonts w:ascii="Times New Roman" w:hAnsi="Times New Roman"/>
          <w:color w:val="auto"/>
          <w:sz w:val="22"/>
          <w:szCs w:val="22"/>
          <w:vertAlign w:val="subscript"/>
          <w:lang w:eastAsia="en-GB"/>
        </w:rPr>
        <w:t>2</w:t>
      </w:r>
      <w:r w:rsidR="001D212D" w:rsidRPr="00222B7C">
        <w:rPr>
          <w:rFonts w:ascii="Times New Roman" w:hAnsi="Times New Roman"/>
          <w:color w:val="auto"/>
          <w:sz w:val="22"/>
          <w:szCs w:val="22"/>
          <w:lang w:eastAsia="en-GB"/>
        </w:rPr>
        <w:t xml:space="preserve"> </w:t>
      </w:r>
      <w:r w:rsidR="001D212D">
        <w:rPr>
          <w:rFonts w:ascii="Times New Roman" w:hAnsi="Times New Roman"/>
          <w:color w:val="auto"/>
          <w:sz w:val="22"/>
          <w:szCs w:val="22"/>
          <w:lang w:eastAsia="en-GB"/>
        </w:rPr>
        <w:t xml:space="preserve">emissions only, </w:t>
      </w:r>
      <w:r w:rsidR="001D212D" w:rsidRPr="00222B7C">
        <w:rPr>
          <w:rFonts w:ascii="Times New Roman" w:hAnsi="Times New Roman"/>
          <w:color w:val="auto"/>
          <w:sz w:val="22"/>
          <w:szCs w:val="22"/>
          <w:lang w:eastAsia="en-GB"/>
        </w:rPr>
        <w:t>as</w:t>
      </w:r>
      <w:r w:rsidR="001D212D">
        <w:rPr>
          <w:rFonts w:ascii="Times New Roman" w:hAnsi="Times New Roman"/>
          <w:color w:val="auto"/>
          <w:sz w:val="22"/>
          <w:szCs w:val="22"/>
          <w:lang w:eastAsia="en-GB"/>
        </w:rPr>
        <w:t xml:space="preserve"> the</w:t>
      </w:r>
      <w:r w:rsidR="001D212D" w:rsidRPr="00222B7C">
        <w:rPr>
          <w:rFonts w:ascii="Times New Roman" w:hAnsi="Times New Roman"/>
          <w:color w:val="auto"/>
          <w:sz w:val="22"/>
          <w:szCs w:val="22"/>
          <w:lang w:eastAsia="en-GB"/>
        </w:rPr>
        <w:t xml:space="preserve"> predominant GHG emitted by ships</w:t>
      </w:r>
      <w:r w:rsidR="001D212D">
        <w:rPr>
          <w:rFonts w:ascii="Times New Roman" w:hAnsi="Times New Roman"/>
          <w:color w:val="auto"/>
          <w:sz w:val="22"/>
          <w:szCs w:val="22"/>
          <w:lang w:eastAsia="en-GB"/>
        </w:rPr>
        <w:t>,</w:t>
      </w:r>
      <w:r w:rsidR="001D212D" w:rsidRPr="00222B7C">
        <w:rPr>
          <w:rFonts w:ascii="Times New Roman" w:hAnsi="Times New Roman"/>
          <w:color w:val="auto"/>
          <w:sz w:val="22"/>
          <w:szCs w:val="22"/>
          <w:lang w:eastAsia="en-GB"/>
        </w:rPr>
        <w:t xml:space="preserve"> and on other climate relevant information such as efficiency information to address market barriers for the uptake of cost-efficient mitigation measures and to align MRV with IMO discussion</w:t>
      </w:r>
      <w:r w:rsidR="001D212D">
        <w:rPr>
          <w:rFonts w:ascii="Times New Roman" w:hAnsi="Times New Roman"/>
          <w:color w:val="auto"/>
          <w:sz w:val="22"/>
          <w:szCs w:val="22"/>
          <w:lang w:eastAsia="en-GB"/>
        </w:rPr>
        <w:t>s</w:t>
      </w:r>
      <w:r w:rsidR="001D212D" w:rsidRPr="00222B7C">
        <w:rPr>
          <w:rFonts w:ascii="Times New Roman" w:hAnsi="Times New Roman"/>
          <w:color w:val="auto"/>
          <w:sz w:val="22"/>
          <w:szCs w:val="22"/>
          <w:lang w:eastAsia="en-GB"/>
        </w:rPr>
        <w:t xml:space="preserve"> on efficiency standards for existing ships</w:t>
      </w:r>
      <w:r w:rsidR="001D212D">
        <w:rPr>
          <w:rFonts w:ascii="Times New Roman" w:hAnsi="Times New Roman"/>
          <w:color w:val="auto"/>
          <w:sz w:val="22"/>
          <w:szCs w:val="22"/>
          <w:lang w:eastAsia="en-GB"/>
        </w:rPr>
        <w:t>.</w:t>
      </w:r>
    </w:p>
    <w:p w:rsidR="001D212D" w:rsidRDefault="001D212D" w:rsidP="006B3C5C">
      <w:pPr>
        <w:numPr>
          <w:ilvl w:val="0"/>
          <w:numId w:val="37"/>
        </w:numPr>
        <w:tabs>
          <w:tab w:val="left" w:pos="426"/>
        </w:tabs>
        <w:overflowPunct/>
        <w:spacing w:after="130" w:line="240" w:lineRule="auto"/>
        <w:ind w:left="426" w:hanging="426"/>
        <w:textAlignment w:val="auto"/>
        <w:rPr>
          <w:rFonts w:ascii="Times New Roman" w:hAnsi="Times New Roman"/>
          <w:color w:val="auto"/>
          <w:sz w:val="22"/>
          <w:szCs w:val="22"/>
          <w:lang w:eastAsia="en-GB"/>
        </w:rPr>
      </w:pPr>
      <w:r w:rsidRPr="00222B7C">
        <w:rPr>
          <w:rFonts w:ascii="Times New Roman" w:hAnsi="Times New Roman"/>
          <w:sz w:val="22"/>
          <w:szCs w:val="22"/>
          <w:lang w:eastAsia="en-GB"/>
        </w:rPr>
        <w:t>Calculate annual CO</w:t>
      </w:r>
      <w:r w:rsidRPr="00936CE8">
        <w:rPr>
          <w:rFonts w:ascii="Times New Roman" w:hAnsi="Times New Roman"/>
          <w:sz w:val="22"/>
          <w:szCs w:val="22"/>
          <w:vertAlign w:val="subscript"/>
          <w:lang w:eastAsia="en-GB"/>
        </w:rPr>
        <w:t>2</w:t>
      </w:r>
      <w:r w:rsidRPr="00222B7C">
        <w:rPr>
          <w:rFonts w:ascii="Times New Roman" w:hAnsi="Times New Roman"/>
          <w:sz w:val="22"/>
          <w:szCs w:val="22"/>
          <w:lang w:eastAsia="en-GB"/>
        </w:rPr>
        <w:t xml:space="preserve"> emissions based on fuel consumption and fuel type and energy efficiency using available data from log books, noon reports and bunker delivery</w:t>
      </w:r>
      <w:r w:rsidRPr="00222B7C">
        <w:rPr>
          <w:rFonts w:ascii="Times New Roman" w:hAnsi="Times New Roman"/>
          <w:color w:val="auto"/>
          <w:sz w:val="22"/>
          <w:szCs w:val="22"/>
          <w:lang w:eastAsia="en-GB"/>
        </w:rPr>
        <w:t xml:space="preserve"> notes.</w:t>
      </w:r>
    </w:p>
    <w:p w:rsidR="001D212D" w:rsidRDefault="001D212D" w:rsidP="006B3C5C">
      <w:pPr>
        <w:numPr>
          <w:ilvl w:val="0"/>
          <w:numId w:val="37"/>
        </w:numPr>
        <w:tabs>
          <w:tab w:val="left" w:pos="426"/>
        </w:tabs>
        <w:overflowPunct/>
        <w:spacing w:after="130" w:line="240" w:lineRule="auto"/>
        <w:ind w:left="426" w:hanging="426"/>
        <w:textAlignment w:val="auto"/>
        <w:rPr>
          <w:rFonts w:ascii="Times New Roman" w:hAnsi="Times New Roman"/>
          <w:color w:val="auto"/>
          <w:sz w:val="22"/>
          <w:szCs w:val="22"/>
          <w:lang w:eastAsia="en-GB"/>
        </w:rPr>
      </w:pPr>
      <w:r w:rsidRPr="00222B7C">
        <w:rPr>
          <w:rFonts w:ascii="Times New Roman" w:hAnsi="Times New Roman"/>
          <w:color w:val="auto"/>
          <w:sz w:val="22"/>
          <w:szCs w:val="22"/>
          <w:lang w:eastAsia="en-GB"/>
        </w:rPr>
        <w:t xml:space="preserve">Use existing structures and bodies of the maritime sector, in particular recognised organisations to verify emission reports and to issue documents </w:t>
      </w:r>
      <w:r>
        <w:rPr>
          <w:rFonts w:ascii="Times New Roman" w:hAnsi="Times New Roman"/>
          <w:color w:val="auto"/>
          <w:sz w:val="22"/>
          <w:szCs w:val="22"/>
          <w:lang w:eastAsia="en-GB"/>
        </w:rPr>
        <w:t>of</w:t>
      </w:r>
      <w:r w:rsidRPr="00222B7C">
        <w:rPr>
          <w:rFonts w:ascii="Times New Roman" w:hAnsi="Times New Roman"/>
          <w:color w:val="auto"/>
          <w:sz w:val="22"/>
          <w:szCs w:val="22"/>
          <w:lang w:eastAsia="en-GB"/>
        </w:rPr>
        <w:t xml:space="preserve"> compliance</w:t>
      </w:r>
      <w:r>
        <w:rPr>
          <w:rFonts w:ascii="Times New Roman" w:hAnsi="Times New Roman"/>
          <w:color w:val="auto"/>
          <w:sz w:val="22"/>
          <w:szCs w:val="22"/>
          <w:lang w:eastAsia="en-GB"/>
        </w:rPr>
        <w:t>, port state authorities for enforcement of the obligations, using existing flag state and port state control mechanisms, and with certain tasks being assigned to the Commission which shall be assisted b y the European Maritime Safety Agency (EMSA).</w:t>
      </w:r>
    </w:p>
    <w:p w:rsidR="001D212D" w:rsidRDefault="001D212D" w:rsidP="006B3C5C">
      <w:pPr>
        <w:numPr>
          <w:ilvl w:val="0"/>
          <w:numId w:val="37"/>
        </w:numPr>
        <w:tabs>
          <w:tab w:val="left" w:pos="426"/>
        </w:tabs>
        <w:overflowPunct/>
        <w:spacing w:after="130" w:line="240" w:lineRule="auto"/>
        <w:ind w:left="426" w:hanging="426"/>
        <w:textAlignment w:val="auto"/>
        <w:rPr>
          <w:rFonts w:ascii="Times New Roman" w:hAnsi="Times New Roman"/>
          <w:color w:val="auto"/>
          <w:sz w:val="22"/>
          <w:szCs w:val="22"/>
          <w:lang w:eastAsia="en-GB"/>
        </w:rPr>
      </w:pPr>
      <w:r w:rsidRPr="00222B7C">
        <w:rPr>
          <w:rFonts w:ascii="Times New Roman" w:hAnsi="Times New Roman"/>
          <w:color w:val="auto"/>
          <w:sz w:val="22"/>
          <w:szCs w:val="22"/>
          <w:lang w:eastAsia="en-GB"/>
        </w:rPr>
        <w:t>Exclude small emitters (ships below 5000 GT) which represent about 40% of the fleet, but only 10% of the total emissions.</w:t>
      </w:r>
    </w:p>
    <w:p w:rsidR="001D212D" w:rsidRDefault="00893980" w:rsidP="006B3C5C">
      <w:pPr>
        <w:numPr>
          <w:ilvl w:val="0"/>
          <w:numId w:val="37"/>
        </w:numPr>
        <w:tabs>
          <w:tab w:val="left" w:pos="426"/>
        </w:tabs>
        <w:overflowPunct/>
        <w:spacing w:after="130" w:line="240" w:lineRule="auto"/>
        <w:ind w:left="426" w:hanging="426"/>
        <w:textAlignment w:val="auto"/>
        <w:rPr>
          <w:rFonts w:ascii="Times New Roman" w:hAnsi="Times New Roman"/>
          <w:color w:val="auto"/>
          <w:sz w:val="22"/>
          <w:szCs w:val="22"/>
          <w:lang w:eastAsia="en-GB"/>
        </w:rPr>
      </w:pPr>
      <w:r>
        <w:rPr>
          <w:rFonts w:ascii="Times New Roman" w:hAnsi="Times New Roman"/>
          <w:color w:val="auto"/>
          <w:sz w:val="22"/>
          <w:szCs w:val="22"/>
          <w:lang w:eastAsia="en-GB"/>
        </w:rPr>
        <w:t>With regard to</w:t>
      </w:r>
      <w:r w:rsidR="001D212D" w:rsidRPr="00222B7C">
        <w:rPr>
          <w:rFonts w:ascii="Times New Roman" w:hAnsi="Times New Roman"/>
          <w:color w:val="auto"/>
          <w:sz w:val="22"/>
          <w:szCs w:val="22"/>
          <w:lang w:eastAsia="en-GB"/>
        </w:rPr>
        <w:t xml:space="preserve"> the geographical scope for monitoring, the following routes will in principle be covered in a non-discriminatory manner for all ships regardless their flag:</w:t>
      </w:r>
    </w:p>
    <w:p w:rsidR="001D212D" w:rsidRDefault="001D212D" w:rsidP="006B3C5C">
      <w:pPr>
        <w:pStyle w:val="ListParagraph"/>
        <w:numPr>
          <w:ilvl w:val="0"/>
          <w:numId w:val="38"/>
        </w:numPr>
        <w:ind w:left="714" w:hanging="357"/>
        <w:rPr>
          <w:rFonts w:ascii="Times New Roman" w:hAnsi="Times New Roman"/>
          <w:color w:val="auto"/>
          <w:sz w:val="22"/>
          <w:szCs w:val="22"/>
          <w:lang w:eastAsia="en-GB"/>
        </w:rPr>
      </w:pPr>
      <w:r>
        <w:rPr>
          <w:rFonts w:ascii="Times New Roman" w:hAnsi="Times New Roman"/>
          <w:color w:val="auto"/>
          <w:sz w:val="22"/>
          <w:szCs w:val="22"/>
          <w:lang w:eastAsia="en-GB"/>
        </w:rPr>
        <w:t>Intra-EU voyages;</w:t>
      </w:r>
    </w:p>
    <w:p w:rsidR="001D212D" w:rsidRDefault="001D212D" w:rsidP="006B3C5C">
      <w:pPr>
        <w:pStyle w:val="ListParagraph"/>
        <w:numPr>
          <w:ilvl w:val="0"/>
          <w:numId w:val="38"/>
        </w:numPr>
        <w:ind w:left="714" w:hanging="357"/>
        <w:rPr>
          <w:rFonts w:ascii="Times New Roman" w:hAnsi="Times New Roman"/>
          <w:color w:val="auto"/>
          <w:sz w:val="22"/>
          <w:szCs w:val="22"/>
          <w:lang w:eastAsia="en-GB"/>
        </w:rPr>
      </w:pPr>
      <w:r>
        <w:rPr>
          <w:rFonts w:ascii="Times New Roman" w:hAnsi="Times New Roman"/>
          <w:color w:val="auto"/>
          <w:sz w:val="22"/>
          <w:szCs w:val="22"/>
          <w:lang w:eastAsia="en-GB"/>
        </w:rPr>
        <w:t>Voyages from the last non-EU port to the first EU port of call (incoming voyages);</w:t>
      </w:r>
    </w:p>
    <w:p w:rsidR="001D212D" w:rsidRDefault="001D212D" w:rsidP="006B3C5C">
      <w:pPr>
        <w:pStyle w:val="ListParagraph"/>
        <w:numPr>
          <w:ilvl w:val="0"/>
          <w:numId w:val="38"/>
        </w:numPr>
        <w:spacing w:after="130"/>
        <w:rPr>
          <w:rFonts w:ascii="Times New Roman" w:hAnsi="Times New Roman"/>
          <w:color w:val="auto"/>
          <w:sz w:val="22"/>
          <w:szCs w:val="22"/>
          <w:lang w:eastAsia="en-GB"/>
        </w:rPr>
      </w:pPr>
      <w:r>
        <w:rPr>
          <w:rFonts w:ascii="Times New Roman" w:hAnsi="Times New Roman"/>
          <w:color w:val="auto"/>
          <w:sz w:val="22"/>
          <w:szCs w:val="22"/>
          <w:lang w:eastAsia="en-GB"/>
        </w:rPr>
        <w:t>Voyages from an EU port to the next non-EU port of call (outgoing voyages</w:t>
      </w:r>
      <w:r w:rsidR="006B3C5C">
        <w:rPr>
          <w:rFonts w:ascii="Times New Roman" w:hAnsi="Times New Roman"/>
          <w:color w:val="auto"/>
          <w:sz w:val="22"/>
          <w:szCs w:val="22"/>
          <w:lang w:eastAsia="en-GB"/>
        </w:rPr>
        <w:t>)</w:t>
      </w:r>
      <w:r>
        <w:rPr>
          <w:rFonts w:ascii="Times New Roman" w:hAnsi="Times New Roman"/>
          <w:color w:val="auto"/>
          <w:sz w:val="22"/>
          <w:szCs w:val="22"/>
          <w:lang w:eastAsia="en-GB"/>
        </w:rPr>
        <w:t>.</w:t>
      </w:r>
    </w:p>
    <w:p w:rsidR="002F756D" w:rsidRPr="00222B7C" w:rsidRDefault="002F756D">
      <w:pPr>
        <w:pStyle w:val="Heading3"/>
        <w:rPr>
          <w:sz w:val="22"/>
          <w:szCs w:val="22"/>
        </w:rPr>
      </w:pPr>
      <w:r w:rsidRPr="00222B7C">
        <w:rPr>
          <w:sz w:val="22"/>
          <w:szCs w:val="22"/>
        </w:rPr>
        <w:t>2</w:t>
      </w:r>
      <w:r w:rsidRPr="00222B7C">
        <w:rPr>
          <w:sz w:val="22"/>
          <w:szCs w:val="22"/>
        </w:rPr>
        <w:tab/>
        <w:t xml:space="preserve">Legal basis </w:t>
      </w:r>
    </w:p>
    <w:p w:rsidR="002F756D" w:rsidRPr="00222B7C" w:rsidRDefault="002F756D">
      <w:pPr>
        <w:pStyle w:val="Heading4"/>
        <w:rPr>
          <w:szCs w:val="22"/>
        </w:rPr>
      </w:pPr>
      <w:r w:rsidRPr="00222B7C">
        <w:rPr>
          <w:szCs w:val="22"/>
        </w:rPr>
        <w:t>2.1</w:t>
      </w:r>
      <w:r w:rsidRPr="00222B7C">
        <w:rPr>
          <w:szCs w:val="22"/>
        </w:rPr>
        <w:tab/>
        <w:t>Basic Treaties</w:t>
      </w:r>
    </w:p>
    <w:p w:rsidR="002F756D" w:rsidRPr="00222B7C" w:rsidRDefault="006B3C5C">
      <w:pPr>
        <w:pStyle w:val="Body"/>
        <w:numPr>
          <w:ilvl w:val="2"/>
          <w:numId w:val="26"/>
        </w:numPr>
        <w:rPr>
          <w:szCs w:val="22"/>
        </w:rPr>
      </w:pPr>
      <w:r>
        <w:rPr>
          <w:szCs w:val="22"/>
        </w:rPr>
        <w:t>A</w:t>
      </w:r>
      <w:r w:rsidRPr="00D37F73">
        <w:rPr>
          <w:szCs w:val="22"/>
        </w:rPr>
        <w:t>rt</w:t>
      </w:r>
      <w:r>
        <w:rPr>
          <w:szCs w:val="22"/>
        </w:rPr>
        <w:t xml:space="preserve">icle 192 Paragraph </w:t>
      </w:r>
      <w:r w:rsidRPr="00D37F73">
        <w:rPr>
          <w:szCs w:val="22"/>
        </w:rPr>
        <w:t>1</w:t>
      </w:r>
      <w:r>
        <w:rPr>
          <w:szCs w:val="22"/>
        </w:rPr>
        <w:t xml:space="preserve">of the </w:t>
      </w:r>
      <w:r w:rsidR="00D37F73" w:rsidRPr="00D37F73">
        <w:rPr>
          <w:szCs w:val="22"/>
        </w:rPr>
        <w:t>T</w:t>
      </w:r>
      <w:r w:rsidR="00D37F73">
        <w:rPr>
          <w:szCs w:val="22"/>
        </w:rPr>
        <w:t xml:space="preserve">reaty on the </w:t>
      </w:r>
      <w:r w:rsidR="00D37F73" w:rsidRPr="00D37F73">
        <w:rPr>
          <w:szCs w:val="22"/>
        </w:rPr>
        <w:t>F</w:t>
      </w:r>
      <w:r w:rsidR="00D37F73">
        <w:rPr>
          <w:szCs w:val="22"/>
        </w:rPr>
        <w:t>unctioning of the European Union</w:t>
      </w:r>
      <w:r w:rsidR="00351C87">
        <w:rPr>
          <w:szCs w:val="22"/>
        </w:rPr>
        <w:t>.</w:t>
      </w:r>
      <w:r w:rsidR="00D37F73" w:rsidRPr="00D37F73">
        <w:rPr>
          <w:szCs w:val="22"/>
        </w:rPr>
        <w:t>  </w:t>
      </w:r>
    </w:p>
    <w:p w:rsidR="002F756D" w:rsidRPr="00222B7C" w:rsidRDefault="002F756D">
      <w:pPr>
        <w:pStyle w:val="Heading4"/>
        <w:rPr>
          <w:szCs w:val="22"/>
        </w:rPr>
      </w:pPr>
      <w:r w:rsidRPr="00222B7C">
        <w:rPr>
          <w:szCs w:val="22"/>
        </w:rPr>
        <w:t>2.2</w:t>
      </w:r>
      <w:r w:rsidRPr="00222B7C">
        <w:rPr>
          <w:szCs w:val="22"/>
        </w:rPr>
        <w:tab/>
        <w:t>European Parliament’s involvement in decision-making procedure</w:t>
      </w:r>
    </w:p>
    <w:p w:rsidR="002F756D" w:rsidRPr="00222B7C" w:rsidRDefault="00351C87">
      <w:pPr>
        <w:pStyle w:val="Body"/>
        <w:numPr>
          <w:ilvl w:val="2"/>
          <w:numId w:val="29"/>
        </w:numPr>
        <w:rPr>
          <w:szCs w:val="22"/>
        </w:rPr>
      </w:pPr>
      <w:r>
        <w:rPr>
          <w:szCs w:val="22"/>
        </w:rPr>
        <w:t xml:space="preserve">Ordinary </w:t>
      </w:r>
      <w:r w:rsidR="006B3C5C">
        <w:rPr>
          <w:szCs w:val="22"/>
        </w:rPr>
        <w:t>L</w:t>
      </w:r>
      <w:r>
        <w:rPr>
          <w:szCs w:val="22"/>
        </w:rPr>
        <w:t>egislative Proposal</w:t>
      </w:r>
      <w:r w:rsidR="002F756D" w:rsidRPr="00222B7C">
        <w:rPr>
          <w:szCs w:val="22"/>
        </w:rPr>
        <w:t xml:space="preserve">: The European Parliament shares legislative power with the Council on the Proposal. </w:t>
      </w:r>
    </w:p>
    <w:p w:rsidR="002F756D" w:rsidRPr="00222B7C" w:rsidRDefault="002F756D">
      <w:pPr>
        <w:pStyle w:val="Heading4"/>
        <w:rPr>
          <w:szCs w:val="22"/>
        </w:rPr>
      </w:pPr>
      <w:r w:rsidRPr="00222B7C">
        <w:rPr>
          <w:szCs w:val="22"/>
        </w:rPr>
        <w:t>2.3</w:t>
      </w:r>
      <w:r w:rsidRPr="00222B7C">
        <w:rPr>
          <w:szCs w:val="22"/>
        </w:rPr>
        <w:tab/>
        <w:t>Majority required in Council</w:t>
      </w:r>
    </w:p>
    <w:p w:rsidR="002F756D" w:rsidRDefault="002F756D">
      <w:pPr>
        <w:pStyle w:val="Body"/>
        <w:ind w:hanging="900"/>
        <w:rPr>
          <w:szCs w:val="22"/>
        </w:rPr>
      </w:pPr>
      <w:r w:rsidRPr="00222B7C">
        <w:rPr>
          <w:i/>
          <w:iCs w:val="0"/>
          <w:szCs w:val="22"/>
        </w:rPr>
        <w:t>2.3.1</w:t>
      </w:r>
      <w:r w:rsidRPr="00222B7C">
        <w:rPr>
          <w:szCs w:val="22"/>
        </w:rPr>
        <w:tab/>
      </w:r>
      <w:r w:rsidR="000C0326" w:rsidRPr="00222B7C">
        <w:rPr>
          <w:szCs w:val="22"/>
        </w:rPr>
        <w:t>Qualified Majority Voting</w:t>
      </w:r>
      <w:r w:rsidR="006B3C5C">
        <w:rPr>
          <w:szCs w:val="22"/>
        </w:rPr>
        <w:t>.</w:t>
      </w:r>
    </w:p>
    <w:p w:rsidR="00A1276A" w:rsidRDefault="00A1276A" w:rsidP="00A1276A">
      <w:pPr>
        <w:pStyle w:val="Heading3"/>
        <w:ind w:hanging="855"/>
      </w:pPr>
      <w:r>
        <w:t>3</w:t>
      </w:r>
      <w:r>
        <w:tab/>
        <w:t xml:space="preserve">Subsidiarity </w:t>
      </w:r>
    </w:p>
    <w:p w:rsidR="00A1276A" w:rsidRDefault="00A1276A" w:rsidP="00A1276A">
      <w:pPr>
        <w:pStyle w:val="Body"/>
        <w:ind w:hanging="851"/>
      </w:pPr>
      <w:r w:rsidRPr="00F519A4">
        <w:rPr>
          <w:i/>
        </w:rPr>
        <w:t>3.1</w:t>
      </w:r>
      <w:r>
        <w:rPr>
          <w:i/>
        </w:rPr>
        <w:tab/>
      </w:r>
      <w:r w:rsidRPr="00F36C29">
        <w:t>The Proposal does not co</w:t>
      </w:r>
      <w:r>
        <w:t>nform with the requirements of S</w:t>
      </w:r>
      <w:r w:rsidRPr="00F36C29">
        <w:t>ubsidiarity.</w:t>
      </w:r>
    </w:p>
    <w:p w:rsidR="00A1276A" w:rsidRPr="00222B7C" w:rsidRDefault="00A1276A" w:rsidP="00A1276A">
      <w:pPr>
        <w:pStyle w:val="Body"/>
        <w:ind w:hanging="902"/>
        <w:rPr>
          <w:szCs w:val="22"/>
        </w:rPr>
      </w:pPr>
      <w:r>
        <w:rPr>
          <w:szCs w:val="22"/>
        </w:rPr>
        <w:t xml:space="preserve"> </w:t>
      </w:r>
      <w:r>
        <w:rPr>
          <w:szCs w:val="22"/>
        </w:rPr>
        <w:tab/>
      </w:r>
      <w:r w:rsidRPr="00F36C29">
        <w:rPr>
          <w:szCs w:val="22"/>
        </w:rPr>
        <w:t>In</w:t>
      </w:r>
      <w:r>
        <w:rPr>
          <w:szCs w:val="22"/>
        </w:rPr>
        <w:t xml:space="preserve"> this context, </w:t>
      </w:r>
      <w:r w:rsidRPr="00F45668">
        <w:rPr>
          <w:szCs w:val="22"/>
        </w:rPr>
        <w:t>Government prop</w:t>
      </w:r>
      <w:r w:rsidR="000B518F">
        <w:rPr>
          <w:szCs w:val="22"/>
        </w:rPr>
        <w:t>oses that Parliament submits a Reasoned O</w:t>
      </w:r>
      <w:r w:rsidRPr="00F45668">
        <w:rPr>
          <w:szCs w:val="22"/>
        </w:rPr>
        <w:t xml:space="preserve">pinion to the Presidents of the European Parliament, the Council and the Commission, in </w:t>
      </w:r>
      <w:r>
        <w:rPr>
          <w:szCs w:val="22"/>
        </w:rPr>
        <w:t xml:space="preserve">line with the provisions of </w:t>
      </w:r>
      <w:r w:rsidRPr="00F45668">
        <w:rPr>
          <w:szCs w:val="22"/>
        </w:rPr>
        <w:t xml:space="preserve">Article 6 of Protocol 2 </w:t>
      </w:r>
      <w:r>
        <w:rPr>
          <w:szCs w:val="22"/>
        </w:rPr>
        <w:t>on the Application of the Principles of Subsidiarity and Proportionality annexed to the Treaty of Lisbon</w:t>
      </w:r>
      <w:r w:rsidRPr="00F45668">
        <w:rPr>
          <w:szCs w:val="22"/>
        </w:rPr>
        <w:t>.</w:t>
      </w:r>
      <w:r>
        <w:rPr>
          <w:szCs w:val="22"/>
        </w:rPr>
        <w:t xml:space="preserve"> A draft reasoned opinion for the consideration of Parliament’s Standing Committee on Foreign and European Affairs is attached.</w:t>
      </w:r>
    </w:p>
    <w:p w:rsidR="002F756D" w:rsidRPr="00222B7C" w:rsidRDefault="000B518F">
      <w:pPr>
        <w:pStyle w:val="Heading3"/>
        <w:ind w:hanging="855"/>
        <w:rPr>
          <w:sz w:val="22"/>
          <w:szCs w:val="22"/>
        </w:rPr>
      </w:pPr>
      <w:r>
        <w:rPr>
          <w:sz w:val="22"/>
          <w:szCs w:val="22"/>
        </w:rPr>
        <w:t>4</w:t>
      </w:r>
      <w:r w:rsidR="002F756D" w:rsidRPr="00222B7C">
        <w:rPr>
          <w:sz w:val="22"/>
          <w:szCs w:val="22"/>
        </w:rPr>
        <w:tab/>
      </w:r>
      <w:r w:rsidR="006E2CAC" w:rsidRPr="00222B7C">
        <w:rPr>
          <w:sz w:val="22"/>
          <w:szCs w:val="22"/>
        </w:rPr>
        <w:t>Government</w:t>
      </w:r>
      <w:r w:rsidR="002F756D" w:rsidRPr="00222B7C">
        <w:rPr>
          <w:sz w:val="22"/>
          <w:szCs w:val="22"/>
        </w:rPr>
        <w:t xml:space="preserve">’s position </w:t>
      </w:r>
    </w:p>
    <w:p w:rsidR="002F756D" w:rsidRPr="00222B7C" w:rsidRDefault="000B518F">
      <w:pPr>
        <w:pStyle w:val="Heading4"/>
        <w:ind w:hanging="855"/>
        <w:rPr>
          <w:b/>
          <w:szCs w:val="22"/>
        </w:rPr>
      </w:pPr>
      <w:r>
        <w:rPr>
          <w:szCs w:val="22"/>
        </w:rPr>
        <w:t>4</w:t>
      </w:r>
      <w:r w:rsidR="002F756D" w:rsidRPr="00222B7C">
        <w:rPr>
          <w:szCs w:val="22"/>
        </w:rPr>
        <w:t>.1</w:t>
      </w:r>
      <w:r w:rsidR="002F756D" w:rsidRPr="00222B7C">
        <w:rPr>
          <w:szCs w:val="22"/>
        </w:rPr>
        <w:tab/>
      </w:r>
      <w:r w:rsidR="003544C0" w:rsidRPr="00222B7C">
        <w:rPr>
          <w:szCs w:val="22"/>
        </w:rPr>
        <w:t>Government</w:t>
      </w:r>
      <w:r w:rsidR="002F756D" w:rsidRPr="00222B7C">
        <w:rPr>
          <w:szCs w:val="22"/>
        </w:rPr>
        <w:t>’s position on the dossier in concrete terms</w:t>
      </w:r>
    </w:p>
    <w:p w:rsidR="002F756D" w:rsidRPr="00C64B81" w:rsidRDefault="002F756D" w:rsidP="00893980">
      <w:pPr>
        <w:spacing w:after="130"/>
        <w:rPr>
          <w:rFonts w:ascii="Times New Roman" w:hAnsi="Times New Roman"/>
          <w:sz w:val="22"/>
          <w:szCs w:val="22"/>
        </w:rPr>
      </w:pPr>
      <w:r w:rsidRPr="00222B7C">
        <w:tab/>
      </w:r>
      <w:r w:rsidRPr="00C64B81">
        <w:rPr>
          <w:rFonts w:ascii="Times New Roman" w:hAnsi="Times New Roman"/>
          <w:sz w:val="22"/>
          <w:szCs w:val="22"/>
        </w:rPr>
        <w:t>The following is the consolidated positio</w:t>
      </w:r>
      <w:r w:rsidR="00DF4598" w:rsidRPr="00C64B81">
        <w:rPr>
          <w:rFonts w:ascii="Times New Roman" w:hAnsi="Times New Roman"/>
          <w:sz w:val="22"/>
          <w:szCs w:val="22"/>
        </w:rPr>
        <w:t>n of the Ministries concerned (Implementing</w:t>
      </w:r>
      <w:r w:rsidR="00286EF7" w:rsidRPr="00C64B81">
        <w:rPr>
          <w:rFonts w:ascii="Times New Roman" w:hAnsi="Times New Roman"/>
          <w:sz w:val="22"/>
          <w:szCs w:val="22"/>
        </w:rPr>
        <w:t>: Ministry for Sustainable Development, the Environment and Climate Change</w:t>
      </w:r>
      <w:r w:rsidR="00A1276A">
        <w:rPr>
          <w:rFonts w:ascii="Times New Roman" w:hAnsi="Times New Roman"/>
          <w:sz w:val="22"/>
          <w:szCs w:val="22"/>
        </w:rPr>
        <w:t xml:space="preserve"> and Ministry for Transport and Infrastructure</w:t>
      </w:r>
      <w:r w:rsidRPr="00C64B81">
        <w:rPr>
          <w:rFonts w:ascii="Times New Roman" w:hAnsi="Times New Roman"/>
          <w:sz w:val="22"/>
          <w:szCs w:val="22"/>
        </w:rPr>
        <w:t xml:space="preserve">; </w:t>
      </w:r>
      <w:r w:rsidR="00DF4598" w:rsidRPr="00C64B81">
        <w:rPr>
          <w:rFonts w:ascii="Times New Roman" w:hAnsi="Times New Roman"/>
          <w:sz w:val="22"/>
          <w:szCs w:val="22"/>
        </w:rPr>
        <w:t>Participating</w:t>
      </w:r>
      <w:r w:rsidRPr="00C64B81">
        <w:rPr>
          <w:rFonts w:ascii="Times New Roman" w:hAnsi="Times New Roman"/>
          <w:sz w:val="22"/>
          <w:szCs w:val="22"/>
        </w:rPr>
        <w:t xml:space="preserve">: </w:t>
      </w:r>
      <w:r w:rsidR="00C64B81" w:rsidRPr="00C64B81">
        <w:rPr>
          <w:rFonts w:ascii="Times New Roman" w:hAnsi="Times New Roman"/>
          <w:sz w:val="22"/>
          <w:szCs w:val="22"/>
        </w:rPr>
        <w:t>Ministry for Energy and the Conservation of Water</w:t>
      </w:r>
      <w:r w:rsidR="00A1276A">
        <w:rPr>
          <w:rFonts w:ascii="Times New Roman" w:hAnsi="Times New Roman"/>
          <w:sz w:val="22"/>
          <w:szCs w:val="22"/>
        </w:rPr>
        <w:t xml:space="preserve"> and</w:t>
      </w:r>
      <w:r w:rsidR="006B3C5C">
        <w:rPr>
          <w:rFonts w:ascii="Times New Roman" w:hAnsi="Times New Roman"/>
          <w:sz w:val="22"/>
          <w:szCs w:val="22"/>
        </w:rPr>
        <w:t xml:space="preserve"> </w:t>
      </w:r>
      <w:r w:rsidR="00C64B81" w:rsidRPr="00C64B81">
        <w:rPr>
          <w:rFonts w:ascii="Times New Roman" w:hAnsi="Times New Roman"/>
          <w:sz w:val="22"/>
          <w:szCs w:val="22"/>
        </w:rPr>
        <w:t>Ministry for Finance</w:t>
      </w:r>
      <w:r w:rsidR="006B3C5C">
        <w:rPr>
          <w:rFonts w:ascii="Times New Roman" w:hAnsi="Times New Roman"/>
          <w:sz w:val="22"/>
          <w:szCs w:val="22"/>
        </w:rPr>
        <w:t>)</w:t>
      </w:r>
      <w:r w:rsidR="00C64B81" w:rsidRPr="00C64B81">
        <w:rPr>
          <w:rFonts w:ascii="Times New Roman" w:hAnsi="Times New Roman"/>
          <w:sz w:val="22"/>
          <w:szCs w:val="22"/>
        </w:rPr>
        <w:t xml:space="preserve"> </w:t>
      </w:r>
      <w:r w:rsidRPr="00C64B81">
        <w:rPr>
          <w:rFonts w:ascii="Times New Roman" w:hAnsi="Times New Roman"/>
          <w:sz w:val="22"/>
          <w:szCs w:val="22"/>
        </w:rPr>
        <w:t>with regard</w:t>
      </w:r>
      <w:r w:rsidR="00C64B81" w:rsidRPr="00C64B81">
        <w:rPr>
          <w:rFonts w:ascii="Times New Roman" w:hAnsi="Times New Roman"/>
          <w:sz w:val="22"/>
          <w:szCs w:val="22"/>
        </w:rPr>
        <w:t xml:space="preserve"> to the </w:t>
      </w:r>
      <w:r w:rsidR="00A1276A">
        <w:rPr>
          <w:rFonts w:ascii="Times New Roman" w:hAnsi="Times New Roman"/>
          <w:sz w:val="22"/>
          <w:szCs w:val="22"/>
        </w:rPr>
        <w:t>P</w:t>
      </w:r>
      <w:r w:rsidR="00C64B81" w:rsidRPr="00C64B81">
        <w:rPr>
          <w:rFonts w:ascii="Times New Roman" w:hAnsi="Times New Roman"/>
          <w:sz w:val="22"/>
          <w:szCs w:val="22"/>
        </w:rPr>
        <w:t>roposal for a Regulation of the European Parliament and of the Council  on the monitoring, reporting and verification of carbon dioxide emissions from maritime transport and amending Regulation (EU) No 525/2013</w:t>
      </w:r>
      <w:r w:rsidRPr="00C64B81">
        <w:rPr>
          <w:rFonts w:ascii="Times New Roman" w:hAnsi="Times New Roman"/>
          <w:sz w:val="22"/>
          <w:szCs w:val="22"/>
        </w:rPr>
        <w:t xml:space="preserve">. </w:t>
      </w:r>
    </w:p>
    <w:p w:rsidR="008608BF" w:rsidRPr="008608BF" w:rsidRDefault="000B518F" w:rsidP="00893980">
      <w:pPr>
        <w:pStyle w:val="Heading4"/>
        <w:rPr>
          <w:lang w:val="en-US"/>
        </w:rPr>
      </w:pPr>
      <w:r>
        <w:rPr>
          <w:szCs w:val="22"/>
        </w:rPr>
        <w:t>4.</w:t>
      </w:r>
      <w:r w:rsidR="006B3C5C">
        <w:rPr>
          <w:szCs w:val="22"/>
        </w:rPr>
        <w:t>1.1</w:t>
      </w:r>
      <w:r w:rsidR="00893980">
        <w:rPr>
          <w:lang w:val="en-US"/>
        </w:rPr>
        <w:tab/>
      </w:r>
      <w:r w:rsidR="008608BF" w:rsidRPr="008608BF">
        <w:rPr>
          <w:lang w:val="en-US"/>
        </w:rPr>
        <w:t>Legal Aspects</w:t>
      </w:r>
    </w:p>
    <w:p w:rsidR="008608BF" w:rsidRPr="008608BF" w:rsidRDefault="000B518F" w:rsidP="000B518F">
      <w:pPr>
        <w:spacing w:after="130"/>
        <w:ind w:hanging="851"/>
        <w:rPr>
          <w:rFonts w:ascii="Times New Roman" w:hAnsi="Times New Roman"/>
          <w:iCs/>
          <w:sz w:val="22"/>
          <w:szCs w:val="22"/>
          <w:lang w:val="en-US"/>
        </w:rPr>
      </w:pPr>
      <w:r w:rsidRPr="000B518F">
        <w:rPr>
          <w:rFonts w:ascii="Times New Roman" w:hAnsi="Times New Roman"/>
          <w:i/>
          <w:iCs/>
          <w:sz w:val="22"/>
          <w:szCs w:val="22"/>
          <w:lang w:val="en-US"/>
        </w:rPr>
        <w:t>4.</w:t>
      </w:r>
      <w:r w:rsidR="006B3C5C">
        <w:rPr>
          <w:rFonts w:ascii="Times New Roman" w:hAnsi="Times New Roman"/>
          <w:i/>
          <w:iCs/>
          <w:sz w:val="22"/>
          <w:szCs w:val="22"/>
          <w:lang w:val="en-US"/>
        </w:rPr>
        <w:t>1</w:t>
      </w:r>
      <w:r w:rsidRPr="000B518F">
        <w:rPr>
          <w:rFonts w:ascii="Times New Roman" w:hAnsi="Times New Roman"/>
          <w:i/>
          <w:iCs/>
          <w:sz w:val="22"/>
          <w:szCs w:val="22"/>
          <w:lang w:val="en-US"/>
        </w:rPr>
        <w:t>.1</w:t>
      </w:r>
      <w:r w:rsidR="006B3C5C">
        <w:rPr>
          <w:rFonts w:ascii="Times New Roman" w:hAnsi="Times New Roman"/>
          <w:i/>
          <w:iCs/>
          <w:sz w:val="22"/>
          <w:szCs w:val="22"/>
          <w:lang w:val="en-US"/>
        </w:rPr>
        <w:t>.1</w:t>
      </w:r>
      <w:r>
        <w:rPr>
          <w:rFonts w:ascii="Times New Roman" w:hAnsi="Times New Roman"/>
          <w:iCs/>
          <w:sz w:val="22"/>
          <w:szCs w:val="22"/>
          <w:lang w:val="en-US"/>
        </w:rPr>
        <w:t xml:space="preserve"> </w:t>
      </w:r>
      <w:r>
        <w:rPr>
          <w:rFonts w:ascii="Times New Roman" w:hAnsi="Times New Roman"/>
          <w:iCs/>
          <w:sz w:val="22"/>
          <w:szCs w:val="22"/>
          <w:lang w:val="en-US"/>
        </w:rPr>
        <w:tab/>
      </w:r>
      <w:r w:rsidR="008608BF" w:rsidRPr="008608BF">
        <w:rPr>
          <w:rFonts w:ascii="Times New Roman" w:hAnsi="Times New Roman"/>
          <w:iCs/>
          <w:sz w:val="22"/>
          <w:szCs w:val="22"/>
          <w:lang w:val="en-US"/>
        </w:rPr>
        <w:t xml:space="preserve">Of paramount concern for </w:t>
      </w:r>
      <w:r w:rsidR="003A40A0">
        <w:rPr>
          <w:rFonts w:ascii="Times New Roman" w:hAnsi="Times New Roman"/>
          <w:iCs/>
          <w:sz w:val="22"/>
          <w:szCs w:val="22"/>
          <w:lang w:val="en-US"/>
        </w:rPr>
        <w:t>the Government</w:t>
      </w:r>
      <w:r w:rsidR="008608BF" w:rsidRPr="008608BF">
        <w:rPr>
          <w:rFonts w:ascii="Times New Roman" w:hAnsi="Times New Roman"/>
          <w:iCs/>
          <w:sz w:val="22"/>
          <w:szCs w:val="22"/>
          <w:lang w:val="en-US"/>
        </w:rPr>
        <w:t xml:space="preserve"> is the applicability of </w:t>
      </w:r>
      <w:r w:rsidR="006B3C5C">
        <w:rPr>
          <w:rFonts w:ascii="Times New Roman" w:hAnsi="Times New Roman"/>
          <w:iCs/>
          <w:sz w:val="22"/>
          <w:szCs w:val="22"/>
          <w:lang w:val="en-US"/>
        </w:rPr>
        <w:t xml:space="preserve"> this Proposal</w:t>
      </w:r>
      <w:r w:rsidR="008608BF" w:rsidRPr="008608BF">
        <w:rPr>
          <w:rFonts w:ascii="Times New Roman" w:hAnsi="Times New Roman"/>
          <w:iCs/>
          <w:sz w:val="22"/>
          <w:szCs w:val="22"/>
          <w:lang w:val="en-US"/>
        </w:rPr>
        <w:t>. The proposed draft does not seem to comply with the United Nations Convention on the Law of the Sea</w:t>
      </w:r>
      <w:r>
        <w:rPr>
          <w:rFonts w:ascii="Times New Roman" w:hAnsi="Times New Roman"/>
          <w:iCs/>
          <w:sz w:val="22"/>
          <w:szCs w:val="22"/>
          <w:lang w:val="en-US"/>
        </w:rPr>
        <w:t xml:space="preserve"> (UNCLOS) </w:t>
      </w:r>
      <w:r w:rsidRPr="000B518F">
        <w:rPr>
          <w:rFonts w:ascii="Times New Roman" w:hAnsi="Times New Roman"/>
          <w:iCs/>
          <w:sz w:val="22"/>
          <w:szCs w:val="22"/>
          <w:lang w:val="en-US"/>
        </w:rPr>
        <w:t>and other international norms</w:t>
      </w:r>
      <w:r>
        <w:rPr>
          <w:rFonts w:ascii="Times New Roman" w:hAnsi="Times New Roman"/>
          <w:iCs/>
          <w:sz w:val="22"/>
          <w:szCs w:val="22"/>
          <w:lang w:val="en-US"/>
        </w:rPr>
        <w:t>,</w:t>
      </w:r>
      <w:r w:rsidR="008608BF" w:rsidRPr="008608BF">
        <w:rPr>
          <w:rFonts w:ascii="Times New Roman" w:hAnsi="Times New Roman"/>
          <w:iCs/>
          <w:sz w:val="22"/>
          <w:szCs w:val="22"/>
          <w:lang w:val="en-US"/>
        </w:rPr>
        <w:t xml:space="preserve"> for the following reasons:</w:t>
      </w:r>
    </w:p>
    <w:p w:rsidR="008608BF" w:rsidRPr="008608BF" w:rsidRDefault="008608BF" w:rsidP="00C33978">
      <w:pPr>
        <w:numPr>
          <w:ilvl w:val="0"/>
          <w:numId w:val="36"/>
        </w:numPr>
        <w:spacing w:after="130"/>
        <w:ind w:left="720" w:hanging="357"/>
        <w:rPr>
          <w:rFonts w:ascii="Times New Roman" w:hAnsi="Times New Roman"/>
          <w:iCs/>
          <w:sz w:val="22"/>
          <w:szCs w:val="22"/>
        </w:rPr>
      </w:pPr>
      <w:r w:rsidRPr="008608BF">
        <w:rPr>
          <w:rFonts w:ascii="Times New Roman" w:hAnsi="Times New Roman"/>
          <w:iCs/>
          <w:sz w:val="22"/>
          <w:szCs w:val="22"/>
        </w:rPr>
        <w:t xml:space="preserve"> </w:t>
      </w:r>
      <w:r w:rsidRPr="008608BF">
        <w:rPr>
          <w:rFonts w:ascii="Times New Roman" w:hAnsi="Times New Roman"/>
          <w:iCs/>
          <w:sz w:val="22"/>
          <w:szCs w:val="22"/>
        </w:rPr>
        <w:tab/>
        <w:t xml:space="preserve">A </w:t>
      </w:r>
      <w:r w:rsidR="006B3C5C">
        <w:rPr>
          <w:rFonts w:ascii="Times New Roman" w:hAnsi="Times New Roman"/>
          <w:iCs/>
          <w:sz w:val="22"/>
          <w:szCs w:val="22"/>
        </w:rPr>
        <w:t>S</w:t>
      </w:r>
      <w:r w:rsidRPr="008608BF">
        <w:rPr>
          <w:rFonts w:ascii="Times New Roman" w:hAnsi="Times New Roman"/>
          <w:iCs/>
          <w:sz w:val="22"/>
          <w:szCs w:val="22"/>
        </w:rPr>
        <w:t>tate cannot impose any of its laws on a ship that does not fly its flag when that ship is outside internal waters (</w:t>
      </w:r>
      <w:r w:rsidR="000B518F">
        <w:rPr>
          <w:rFonts w:ascii="Times New Roman" w:hAnsi="Times New Roman"/>
          <w:iCs/>
          <w:sz w:val="22"/>
          <w:szCs w:val="22"/>
        </w:rPr>
        <w:t>that is,</w:t>
      </w:r>
      <w:r w:rsidRPr="008608BF">
        <w:rPr>
          <w:rFonts w:ascii="Times New Roman" w:hAnsi="Times New Roman"/>
          <w:iCs/>
          <w:sz w:val="22"/>
          <w:szCs w:val="22"/>
        </w:rPr>
        <w:t xml:space="preserve"> outside its ports) – the imposition of laws on a ship outside internal waters is the prerogative of the flag state of that ship.  This thus means that an EU Member State will not be able to oblige a vessel that does not fly its flag to provide data on GHG emissions or oblige it to take part in an emissions accounting system.  </w:t>
      </w:r>
      <w:r w:rsidR="006B3C5C">
        <w:rPr>
          <w:rFonts w:ascii="Times New Roman" w:hAnsi="Times New Roman"/>
          <w:iCs/>
          <w:sz w:val="22"/>
          <w:szCs w:val="22"/>
        </w:rPr>
        <w:t>The s</w:t>
      </w:r>
      <w:r w:rsidRPr="008608BF">
        <w:rPr>
          <w:rFonts w:ascii="Times New Roman" w:hAnsi="Times New Roman"/>
          <w:iCs/>
          <w:sz w:val="22"/>
          <w:szCs w:val="22"/>
        </w:rPr>
        <w:t>ubsequent points expand this argument for different maritime zones.</w:t>
      </w:r>
    </w:p>
    <w:p w:rsidR="008608BF" w:rsidRPr="008608BF" w:rsidRDefault="008608BF" w:rsidP="00C33978">
      <w:pPr>
        <w:numPr>
          <w:ilvl w:val="0"/>
          <w:numId w:val="36"/>
        </w:numPr>
        <w:spacing w:after="130"/>
        <w:rPr>
          <w:rFonts w:ascii="Times New Roman" w:hAnsi="Times New Roman"/>
          <w:iCs/>
          <w:sz w:val="22"/>
          <w:szCs w:val="22"/>
        </w:rPr>
      </w:pPr>
      <w:r w:rsidRPr="008608BF">
        <w:rPr>
          <w:rFonts w:ascii="Times New Roman" w:hAnsi="Times New Roman"/>
          <w:i/>
          <w:iCs/>
          <w:sz w:val="22"/>
          <w:szCs w:val="22"/>
        </w:rPr>
        <w:t xml:space="preserve"> </w:t>
      </w:r>
      <w:r w:rsidRPr="008608BF">
        <w:rPr>
          <w:rFonts w:ascii="Times New Roman" w:hAnsi="Times New Roman"/>
          <w:i/>
          <w:iCs/>
          <w:sz w:val="22"/>
          <w:szCs w:val="22"/>
        </w:rPr>
        <w:tab/>
        <w:t>Applicability in respect of territorial seas</w:t>
      </w:r>
      <w:r w:rsidRPr="008608BF">
        <w:rPr>
          <w:rFonts w:ascii="Times New Roman" w:hAnsi="Times New Roman"/>
          <w:iCs/>
          <w:sz w:val="22"/>
          <w:szCs w:val="22"/>
        </w:rPr>
        <w:t xml:space="preserve">: the </w:t>
      </w:r>
      <w:r w:rsidR="006B3C5C">
        <w:rPr>
          <w:rFonts w:ascii="Times New Roman" w:hAnsi="Times New Roman"/>
          <w:iCs/>
          <w:sz w:val="22"/>
          <w:szCs w:val="22"/>
        </w:rPr>
        <w:t>Proposal</w:t>
      </w:r>
      <w:r w:rsidRPr="008608BF">
        <w:rPr>
          <w:rFonts w:ascii="Times New Roman" w:hAnsi="Times New Roman"/>
          <w:iCs/>
          <w:sz w:val="22"/>
          <w:szCs w:val="22"/>
        </w:rPr>
        <w:t xml:space="preserve"> goes against Article 21 of the UNCLOS entitled “Laws and Regulations of the Coastal State Relating to Innocent Passage”, where “innocent passage” refers to the right of freedom to navigate through territorial seas of a </w:t>
      </w:r>
      <w:r w:rsidR="006B3C5C">
        <w:rPr>
          <w:rFonts w:ascii="Times New Roman" w:hAnsi="Times New Roman"/>
          <w:iCs/>
          <w:sz w:val="22"/>
          <w:szCs w:val="22"/>
        </w:rPr>
        <w:t>S</w:t>
      </w:r>
      <w:r w:rsidRPr="008608BF">
        <w:rPr>
          <w:rFonts w:ascii="Times New Roman" w:hAnsi="Times New Roman"/>
          <w:iCs/>
          <w:sz w:val="22"/>
          <w:szCs w:val="22"/>
        </w:rPr>
        <w:t>tate. One could argue that according to Article 21(f) of UNCLOS</w:t>
      </w:r>
      <w:r w:rsidR="000B518F">
        <w:rPr>
          <w:rFonts w:ascii="Times New Roman" w:hAnsi="Times New Roman"/>
          <w:iCs/>
          <w:sz w:val="22"/>
          <w:szCs w:val="22"/>
        </w:rPr>
        <w:t>,</w:t>
      </w:r>
      <w:r w:rsidRPr="008608BF">
        <w:rPr>
          <w:rFonts w:ascii="Times New Roman" w:hAnsi="Times New Roman"/>
          <w:iCs/>
          <w:sz w:val="22"/>
          <w:szCs w:val="22"/>
        </w:rPr>
        <w:t xml:space="preserve"> coastal states may adopt laws and </w:t>
      </w:r>
      <w:r w:rsidR="000B518F">
        <w:rPr>
          <w:rFonts w:ascii="Times New Roman" w:hAnsi="Times New Roman"/>
          <w:iCs/>
          <w:sz w:val="22"/>
          <w:szCs w:val="22"/>
        </w:rPr>
        <w:t>R</w:t>
      </w:r>
      <w:r w:rsidRPr="008608BF">
        <w:rPr>
          <w:rFonts w:ascii="Times New Roman" w:hAnsi="Times New Roman"/>
          <w:iCs/>
          <w:sz w:val="22"/>
          <w:szCs w:val="22"/>
        </w:rPr>
        <w:t>egulations to preserve their environment and prevent, control or reduce pollution. However</w:t>
      </w:r>
      <w:r w:rsidR="000B518F">
        <w:rPr>
          <w:rFonts w:ascii="Times New Roman" w:hAnsi="Times New Roman"/>
          <w:iCs/>
          <w:sz w:val="22"/>
          <w:szCs w:val="22"/>
        </w:rPr>
        <w:t>,</w:t>
      </w:r>
      <w:r w:rsidRPr="008608BF">
        <w:rPr>
          <w:rFonts w:ascii="Times New Roman" w:hAnsi="Times New Roman"/>
          <w:iCs/>
          <w:sz w:val="22"/>
          <w:szCs w:val="22"/>
        </w:rPr>
        <w:t xml:space="preserve"> such laws and </w:t>
      </w:r>
      <w:r w:rsidR="000B518F">
        <w:rPr>
          <w:rFonts w:ascii="Times New Roman" w:hAnsi="Times New Roman"/>
          <w:iCs/>
          <w:sz w:val="22"/>
          <w:szCs w:val="22"/>
        </w:rPr>
        <w:t>R</w:t>
      </w:r>
      <w:r w:rsidRPr="008608BF">
        <w:rPr>
          <w:rFonts w:ascii="Times New Roman" w:hAnsi="Times New Roman"/>
          <w:iCs/>
          <w:sz w:val="22"/>
          <w:szCs w:val="22"/>
        </w:rPr>
        <w:t xml:space="preserve">egulations shall not apply to the manning of foreign ships unless giving effect to generally accepted international rules and standards.  This in fact tallies with insisting that any </w:t>
      </w:r>
      <w:r w:rsidR="00C33978">
        <w:rPr>
          <w:rFonts w:ascii="Times New Roman" w:hAnsi="Times New Roman"/>
          <w:iCs/>
          <w:sz w:val="22"/>
          <w:szCs w:val="22"/>
        </w:rPr>
        <w:t>P</w:t>
      </w:r>
      <w:r w:rsidRPr="008608BF">
        <w:rPr>
          <w:rFonts w:ascii="Times New Roman" w:hAnsi="Times New Roman"/>
          <w:iCs/>
          <w:sz w:val="22"/>
          <w:szCs w:val="22"/>
        </w:rPr>
        <w:t>roposals on GHG maritime emissions should be done through IMO, preferably through</w:t>
      </w:r>
      <w:r w:rsidR="00C33978">
        <w:rPr>
          <w:rFonts w:ascii="Times New Roman" w:hAnsi="Times New Roman"/>
          <w:iCs/>
          <w:sz w:val="22"/>
          <w:szCs w:val="22"/>
        </w:rPr>
        <w:t xml:space="preserve"> the </w:t>
      </w:r>
      <w:r w:rsidR="00C33978" w:rsidRPr="00C33978">
        <w:rPr>
          <w:rFonts w:ascii="Times New Roman" w:hAnsi="Times New Roman"/>
          <w:iCs/>
          <w:sz w:val="22"/>
          <w:szCs w:val="22"/>
        </w:rPr>
        <w:t>International Convention for the Prevention of Pollution from Ships</w:t>
      </w:r>
      <w:r w:rsidRPr="008608BF">
        <w:rPr>
          <w:rFonts w:ascii="Times New Roman" w:hAnsi="Times New Roman"/>
          <w:iCs/>
          <w:sz w:val="22"/>
          <w:szCs w:val="22"/>
        </w:rPr>
        <w:t xml:space="preserve"> </w:t>
      </w:r>
      <w:r w:rsidR="00C33978">
        <w:rPr>
          <w:rFonts w:ascii="Times New Roman" w:hAnsi="Times New Roman"/>
          <w:iCs/>
          <w:sz w:val="22"/>
          <w:szCs w:val="22"/>
        </w:rPr>
        <w:t>(</w:t>
      </w:r>
      <w:r w:rsidRPr="008608BF">
        <w:rPr>
          <w:rFonts w:ascii="Times New Roman" w:hAnsi="Times New Roman"/>
          <w:iCs/>
          <w:sz w:val="22"/>
          <w:szCs w:val="22"/>
        </w:rPr>
        <w:t>MARPOL</w:t>
      </w:r>
      <w:r w:rsidR="00C33978">
        <w:rPr>
          <w:rFonts w:ascii="Times New Roman" w:hAnsi="Times New Roman"/>
          <w:iCs/>
          <w:sz w:val="22"/>
          <w:szCs w:val="22"/>
        </w:rPr>
        <w:t>)</w:t>
      </w:r>
      <w:r w:rsidRPr="008608BF">
        <w:rPr>
          <w:rFonts w:ascii="Times New Roman" w:hAnsi="Times New Roman"/>
          <w:iCs/>
          <w:sz w:val="22"/>
          <w:szCs w:val="22"/>
        </w:rPr>
        <w:t xml:space="preserve"> </w:t>
      </w:r>
      <w:r w:rsidR="00C33978">
        <w:rPr>
          <w:rFonts w:ascii="Times New Roman" w:hAnsi="Times New Roman"/>
          <w:iCs/>
          <w:sz w:val="22"/>
          <w:szCs w:val="22"/>
        </w:rPr>
        <w:t>C</w:t>
      </w:r>
      <w:r w:rsidRPr="008608BF">
        <w:rPr>
          <w:rFonts w:ascii="Times New Roman" w:hAnsi="Times New Roman"/>
          <w:iCs/>
          <w:sz w:val="22"/>
          <w:szCs w:val="22"/>
        </w:rPr>
        <w:t xml:space="preserve">onvention. </w:t>
      </w:r>
    </w:p>
    <w:p w:rsidR="008608BF" w:rsidRPr="008608BF" w:rsidRDefault="008608BF" w:rsidP="00C33978">
      <w:pPr>
        <w:numPr>
          <w:ilvl w:val="0"/>
          <w:numId w:val="35"/>
        </w:numPr>
        <w:spacing w:after="130"/>
        <w:ind w:left="714" w:hanging="357"/>
        <w:rPr>
          <w:rFonts w:ascii="Times New Roman" w:hAnsi="Times New Roman"/>
          <w:iCs/>
          <w:sz w:val="22"/>
          <w:szCs w:val="22"/>
          <w:lang w:val="en-US"/>
        </w:rPr>
      </w:pPr>
      <w:r w:rsidRPr="008608BF">
        <w:rPr>
          <w:rFonts w:ascii="Times New Roman" w:hAnsi="Times New Roman"/>
          <w:iCs/>
          <w:sz w:val="22"/>
          <w:szCs w:val="22"/>
          <w:lang w:val="en-US"/>
        </w:rPr>
        <w:t xml:space="preserve"> </w:t>
      </w:r>
      <w:r w:rsidRPr="008608BF">
        <w:rPr>
          <w:rFonts w:ascii="Times New Roman" w:hAnsi="Times New Roman"/>
          <w:iCs/>
          <w:sz w:val="22"/>
          <w:szCs w:val="22"/>
          <w:lang w:val="en-US"/>
        </w:rPr>
        <w:tab/>
      </w:r>
      <w:r w:rsidR="000B518F">
        <w:rPr>
          <w:rFonts w:ascii="Times New Roman" w:hAnsi="Times New Roman"/>
          <w:i/>
          <w:iCs/>
          <w:sz w:val="22"/>
          <w:szCs w:val="22"/>
          <w:lang w:val="en-US"/>
        </w:rPr>
        <w:t>A</w:t>
      </w:r>
      <w:r w:rsidRPr="008608BF">
        <w:rPr>
          <w:rFonts w:ascii="Times New Roman" w:hAnsi="Times New Roman"/>
          <w:i/>
          <w:iCs/>
          <w:sz w:val="22"/>
          <w:szCs w:val="22"/>
          <w:lang w:val="en-US"/>
        </w:rPr>
        <w:t>pplicability in respect of contiguous zones</w:t>
      </w:r>
      <w:r w:rsidRPr="008608BF">
        <w:rPr>
          <w:rFonts w:ascii="Times New Roman" w:hAnsi="Times New Roman"/>
          <w:iCs/>
          <w:sz w:val="22"/>
          <w:szCs w:val="22"/>
          <w:lang w:val="en-US"/>
        </w:rPr>
        <w:t>:  Article 33 of UNCLOS, the only provision of UNCLOS that concerns contiguous zones, only allows coastal states to regulate foreign vessels in contiguous zones “</w:t>
      </w:r>
      <w:r w:rsidRPr="008608BF">
        <w:rPr>
          <w:rFonts w:ascii="Times New Roman" w:hAnsi="Times New Roman"/>
          <w:i/>
          <w:iCs/>
          <w:sz w:val="22"/>
          <w:szCs w:val="22"/>
          <w:lang w:val="en-US"/>
        </w:rPr>
        <w:t>to prevent infringement of customs, fiscal, immigration or sanitary laws and regulations within</w:t>
      </w:r>
      <w:r w:rsidRPr="008608BF">
        <w:rPr>
          <w:rFonts w:ascii="Times New Roman" w:hAnsi="Times New Roman"/>
          <w:iCs/>
          <w:sz w:val="22"/>
          <w:szCs w:val="22"/>
          <w:lang w:val="en-US"/>
        </w:rPr>
        <w:t xml:space="preserve"> [their] </w:t>
      </w:r>
      <w:r w:rsidRPr="008608BF">
        <w:rPr>
          <w:rFonts w:ascii="Times New Roman" w:hAnsi="Times New Roman"/>
          <w:i/>
          <w:iCs/>
          <w:sz w:val="22"/>
          <w:szCs w:val="22"/>
          <w:lang w:val="en-US"/>
        </w:rPr>
        <w:t>territory and territorial sea</w:t>
      </w:r>
      <w:r w:rsidRPr="008608BF">
        <w:rPr>
          <w:rFonts w:ascii="Times New Roman" w:hAnsi="Times New Roman"/>
          <w:iCs/>
          <w:sz w:val="22"/>
          <w:szCs w:val="22"/>
          <w:lang w:val="en-US"/>
        </w:rPr>
        <w:t>”. This provision cannot be extended to accounting of GHG emissions by foreign vessels as they pass through the contiguous zone to reach ports within the coastal state.</w:t>
      </w:r>
    </w:p>
    <w:p w:rsidR="008608BF" w:rsidRPr="008608BF" w:rsidRDefault="008608BF" w:rsidP="00893980">
      <w:pPr>
        <w:numPr>
          <w:ilvl w:val="0"/>
          <w:numId w:val="35"/>
        </w:numPr>
        <w:spacing w:after="130"/>
        <w:rPr>
          <w:rFonts w:ascii="Times New Roman" w:hAnsi="Times New Roman"/>
          <w:iCs/>
          <w:sz w:val="22"/>
          <w:szCs w:val="22"/>
          <w:lang w:val="en-US"/>
        </w:rPr>
      </w:pPr>
      <w:r w:rsidRPr="008608BF">
        <w:rPr>
          <w:rFonts w:ascii="Times New Roman" w:hAnsi="Times New Roman"/>
          <w:iCs/>
          <w:sz w:val="22"/>
          <w:szCs w:val="22"/>
          <w:lang w:val="en-US"/>
        </w:rPr>
        <w:t xml:space="preserve"> </w:t>
      </w:r>
      <w:r w:rsidRPr="008608BF">
        <w:rPr>
          <w:rFonts w:ascii="Times New Roman" w:hAnsi="Times New Roman"/>
          <w:iCs/>
          <w:sz w:val="22"/>
          <w:szCs w:val="22"/>
          <w:lang w:val="en-US"/>
        </w:rPr>
        <w:tab/>
      </w:r>
      <w:r w:rsidRPr="008608BF">
        <w:rPr>
          <w:rFonts w:ascii="Times New Roman" w:hAnsi="Times New Roman"/>
          <w:i/>
          <w:iCs/>
          <w:sz w:val="22"/>
          <w:szCs w:val="22"/>
          <w:lang w:val="en-US"/>
        </w:rPr>
        <w:t>Applicability in respect of exclusive economic zones</w:t>
      </w:r>
      <w:r w:rsidRPr="008608BF">
        <w:rPr>
          <w:rFonts w:ascii="Times New Roman" w:hAnsi="Times New Roman"/>
          <w:iCs/>
          <w:sz w:val="22"/>
          <w:szCs w:val="22"/>
          <w:lang w:val="en-US"/>
        </w:rPr>
        <w:t xml:space="preserve">: </w:t>
      </w:r>
      <w:r w:rsidR="006B3C5C">
        <w:rPr>
          <w:rFonts w:ascii="Times New Roman" w:hAnsi="Times New Roman"/>
          <w:iCs/>
          <w:sz w:val="22"/>
          <w:szCs w:val="22"/>
          <w:lang w:val="en-US"/>
        </w:rPr>
        <w:t>E</w:t>
      </w:r>
      <w:r w:rsidRPr="008608BF">
        <w:rPr>
          <w:rFonts w:ascii="Times New Roman" w:hAnsi="Times New Roman"/>
          <w:iCs/>
          <w:sz w:val="22"/>
          <w:szCs w:val="22"/>
          <w:lang w:val="en-US"/>
        </w:rPr>
        <w:t xml:space="preserve">xclusive economic zones are optional and not all EU Member States have an </w:t>
      </w:r>
      <w:r w:rsidR="00C33978">
        <w:rPr>
          <w:rFonts w:ascii="Times New Roman" w:hAnsi="Times New Roman"/>
          <w:iCs/>
          <w:sz w:val="22"/>
          <w:szCs w:val="22"/>
          <w:lang w:val="en-US"/>
        </w:rPr>
        <w:t>Exclusive Economic Z</w:t>
      </w:r>
      <w:r w:rsidR="00C33978" w:rsidRPr="00C33978">
        <w:rPr>
          <w:rFonts w:ascii="Times New Roman" w:hAnsi="Times New Roman"/>
          <w:iCs/>
          <w:sz w:val="22"/>
          <w:szCs w:val="22"/>
          <w:lang w:val="en-US"/>
        </w:rPr>
        <w:t xml:space="preserve">one </w:t>
      </w:r>
      <w:r w:rsidR="00C33978">
        <w:rPr>
          <w:rFonts w:ascii="Times New Roman" w:hAnsi="Times New Roman"/>
          <w:iCs/>
          <w:sz w:val="22"/>
          <w:szCs w:val="22"/>
          <w:lang w:val="en-US"/>
        </w:rPr>
        <w:t>(</w:t>
      </w:r>
      <w:r w:rsidRPr="008608BF">
        <w:rPr>
          <w:rFonts w:ascii="Times New Roman" w:hAnsi="Times New Roman"/>
          <w:iCs/>
          <w:sz w:val="22"/>
          <w:szCs w:val="22"/>
          <w:lang w:val="en-US"/>
        </w:rPr>
        <w:t>EEZ</w:t>
      </w:r>
      <w:r w:rsidR="00C33978">
        <w:rPr>
          <w:rFonts w:ascii="Times New Roman" w:hAnsi="Times New Roman"/>
          <w:iCs/>
          <w:sz w:val="22"/>
          <w:szCs w:val="22"/>
          <w:lang w:val="en-US"/>
        </w:rPr>
        <w:t>)</w:t>
      </w:r>
      <w:r w:rsidRPr="008608BF">
        <w:rPr>
          <w:rFonts w:ascii="Times New Roman" w:hAnsi="Times New Roman"/>
          <w:iCs/>
          <w:sz w:val="22"/>
          <w:szCs w:val="22"/>
          <w:lang w:val="en-US"/>
        </w:rPr>
        <w:t xml:space="preserve">, </w:t>
      </w:r>
      <w:smartTag w:uri="urn:schemas-microsoft-com:office:smarttags" w:element="country-region">
        <w:smartTag w:uri="urn:schemas-microsoft-com:office:smarttags" w:element="place">
          <w:r w:rsidRPr="008608BF">
            <w:rPr>
              <w:rFonts w:ascii="Times New Roman" w:hAnsi="Times New Roman"/>
              <w:iCs/>
              <w:sz w:val="22"/>
              <w:szCs w:val="22"/>
              <w:lang w:val="en-US"/>
            </w:rPr>
            <w:t>Malta</w:t>
          </w:r>
        </w:smartTag>
      </w:smartTag>
      <w:r w:rsidRPr="008608BF">
        <w:rPr>
          <w:rFonts w:ascii="Times New Roman" w:hAnsi="Times New Roman"/>
          <w:iCs/>
          <w:sz w:val="22"/>
          <w:szCs w:val="22"/>
          <w:lang w:val="en-US"/>
        </w:rPr>
        <w:t xml:space="preserve"> being a case in point.  Thus </w:t>
      </w:r>
      <w:smartTag w:uri="urn:schemas-microsoft-com:office:smarttags" w:element="country-region">
        <w:smartTag w:uri="urn:schemas-microsoft-com:office:smarttags" w:element="place">
          <w:r w:rsidRPr="008608BF">
            <w:rPr>
              <w:rFonts w:ascii="Times New Roman" w:hAnsi="Times New Roman"/>
              <w:iCs/>
              <w:sz w:val="22"/>
              <w:szCs w:val="22"/>
              <w:lang w:val="en-US"/>
            </w:rPr>
            <w:t>Malta</w:t>
          </w:r>
        </w:smartTag>
      </w:smartTag>
      <w:r w:rsidRPr="008608BF">
        <w:rPr>
          <w:rFonts w:ascii="Times New Roman" w:hAnsi="Times New Roman"/>
          <w:iCs/>
          <w:sz w:val="22"/>
          <w:szCs w:val="22"/>
          <w:lang w:val="en-US"/>
        </w:rPr>
        <w:t xml:space="preserve"> would not have any powers to enact laws that set provisions normally related to EEZs.</w:t>
      </w:r>
    </w:p>
    <w:p w:rsidR="008608BF" w:rsidRPr="008608BF" w:rsidRDefault="008608BF" w:rsidP="00893980">
      <w:pPr>
        <w:numPr>
          <w:ilvl w:val="0"/>
          <w:numId w:val="35"/>
        </w:numPr>
        <w:spacing w:after="130"/>
        <w:rPr>
          <w:rFonts w:ascii="Times New Roman" w:hAnsi="Times New Roman"/>
          <w:iCs/>
          <w:sz w:val="22"/>
          <w:szCs w:val="22"/>
          <w:lang w:val="en-US"/>
        </w:rPr>
      </w:pPr>
      <w:r w:rsidRPr="008608BF">
        <w:rPr>
          <w:rFonts w:ascii="Times New Roman" w:hAnsi="Times New Roman"/>
          <w:iCs/>
          <w:sz w:val="22"/>
          <w:szCs w:val="22"/>
          <w:lang w:val="en-US"/>
        </w:rPr>
        <w:t xml:space="preserve"> </w:t>
      </w:r>
      <w:r w:rsidRPr="008608BF">
        <w:rPr>
          <w:rFonts w:ascii="Times New Roman" w:hAnsi="Times New Roman"/>
          <w:iCs/>
          <w:sz w:val="22"/>
          <w:szCs w:val="22"/>
          <w:lang w:val="en-US"/>
        </w:rPr>
        <w:tab/>
      </w:r>
      <w:r w:rsidRPr="008608BF">
        <w:rPr>
          <w:rFonts w:ascii="Times New Roman" w:hAnsi="Times New Roman"/>
          <w:i/>
          <w:iCs/>
          <w:sz w:val="22"/>
          <w:szCs w:val="22"/>
          <w:lang w:val="en-US"/>
        </w:rPr>
        <w:t>Applicability in respect of high seas</w:t>
      </w:r>
      <w:r w:rsidRPr="008608BF">
        <w:rPr>
          <w:rFonts w:ascii="Times New Roman" w:hAnsi="Times New Roman"/>
          <w:iCs/>
          <w:sz w:val="22"/>
          <w:szCs w:val="22"/>
          <w:lang w:val="en-US"/>
        </w:rPr>
        <w:t xml:space="preserve">: </w:t>
      </w:r>
      <w:r w:rsidR="006B3C5C">
        <w:rPr>
          <w:rFonts w:ascii="Times New Roman" w:hAnsi="Times New Roman"/>
          <w:iCs/>
          <w:sz w:val="22"/>
          <w:szCs w:val="22"/>
          <w:lang w:val="en-US"/>
        </w:rPr>
        <w:t>F</w:t>
      </w:r>
      <w:r w:rsidRPr="008608BF">
        <w:rPr>
          <w:rFonts w:ascii="Times New Roman" w:hAnsi="Times New Roman"/>
          <w:iCs/>
          <w:sz w:val="22"/>
          <w:szCs w:val="22"/>
          <w:lang w:val="en-US"/>
        </w:rPr>
        <w:t>lag state jurisdiction in respect of vessels on the high seas is supreme and no coastal state can impose upon a foreign flagged vessel any of its laws, even if the ultimate destination of that vessel is the coastal state.  Article 89 of UNCLOS clearly states that: “</w:t>
      </w:r>
      <w:r w:rsidRPr="008608BF">
        <w:rPr>
          <w:rFonts w:ascii="Times New Roman" w:hAnsi="Times New Roman"/>
          <w:i/>
          <w:iCs/>
          <w:sz w:val="22"/>
          <w:szCs w:val="22"/>
          <w:lang w:val="en-US"/>
        </w:rPr>
        <w:t>No state may validly purport to subject any part of the high seas to its sovereignty</w:t>
      </w:r>
      <w:r w:rsidRPr="008608BF">
        <w:rPr>
          <w:rFonts w:ascii="Times New Roman" w:hAnsi="Times New Roman"/>
          <w:iCs/>
          <w:sz w:val="22"/>
          <w:szCs w:val="22"/>
          <w:lang w:val="en-US"/>
        </w:rPr>
        <w:t>”.</w:t>
      </w:r>
    </w:p>
    <w:p w:rsidR="008608BF" w:rsidRPr="008608BF" w:rsidRDefault="008608BF" w:rsidP="00893980">
      <w:pPr>
        <w:numPr>
          <w:ilvl w:val="0"/>
          <w:numId w:val="35"/>
        </w:numPr>
        <w:spacing w:after="130"/>
        <w:rPr>
          <w:rFonts w:ascii="Times New Roman" w:hAnsi="Times New Roman"/>
          <w:iCs/>
          <w:sz w:val="22"/>
          <w:szCs w:val="22"/>
          <w:lang w:val="en-US"/>
        </w:rPr>
      </w:pPr>
      <w:r w:rsidRPr="008608BF">
        <w:rPr>
          <w:rFonts w:ascii="Times New Roman" w:hAnsi="Times New Roman"/>
          <w:iCs/>
          <w:sz w:val="22"/>
          <w:szCs w:val="22"/>
          <w:lang w:val="en-US"/>
        </w:rPr>
        <w:t xml:space="preserve"> </w:t>
      </w:r>
      <w:r w:rsidRPr="008608BF">
        <w:rPr>
          <w:rFonts w:ascii="Times New Roman" w:hAnsi="Times New Roman"/>
          <w:iCs/>
          <w:sz w:val="22"/>
          <w:szCs w:val="22"/>
          <w:lang w:val="en-US"/>
        </w:rPr>
        <w:tab/>
      </w:r>
      <w:r w:rsidRPr="008608BF">
        <w:rPr>
          <w:rFonts w:ascii="Times New Roman" w:hAnsi="Times New Roman"/>
          <w:i/>
          <w:iCs/>
          <w:sz w:val="22"/>
          <w:szCs w:val="22"/>
          <w:lang w:val="en-US"/>
        </w:rPr>
        <w:t>Jurisdiction of flag states</w:t>
      </w:r>
      <w:r w:rsidRPr="008608BF">
        <w:rPr>
          <w:rFonts w:ascii="Times New Roman" w:hAnsi="Times New Roman"/>
          <w:iCs/>
          <w:sz w:val="22"/>
          <w:szCs w:val="22"/>
          <w:lang w:val="en-US"/>
        </w:rPr>
        <w:t xml:space="preserve">: </w:t>
      </w:r>
      <w:r w:rsidR="006B3C5C">
        <w:rPr>
          <w:rFonts w:ascii="Times New Roman" w:hAnsi="Times New Roman"/>
          <w:iCs/>
          <w:sz w:val="22"/>
          <w:szCs w:val="22"/>
          <w:lang w:val="en-US"/>
        </w:rPr>
        <w:t>I</w:t>
      </w:r>
      <w:r w:rsidRPr="008608BF">
        <w:rPr>
          <w:rFonts w:ascii="Times New Roman" w:hAnsi="Times New Roman"/>
          <w:iCs/>
          <w:sz w:val="22"/>
          <w:szCs w:val="22"/>
          <w:lang w:val="en-US"/>
        </w:rPr>
        <w:t>nternational law presumes that vessels are subject to the jurisdiction, and thus, laws, of their flag state.  The EU can legislate in respect of vessels flying the flag of its Member States wherever they are.  Vessels flying the flag of non-EU Member State flag states can at best only be regulated in so far as they enter ports of EU Member States.  EU law and/or the law of EU Member States as coastal/port states implementing the Regulation, is not applicable to non-EU Member State flagged vessels when such vessels are beyond the territorial waters of EU Member States.  And even within territorial waters, there are limitations, as provided for under the Paris M</w:t>
      </w:r>
      <w:r w:rsidR="00C33978">
        <w:rPr>
          <w:rFonts w:ascii="Times New Roman" w:hAnsi="Times New Roman"/>
          <w:iCs/>
          <w:sz w:val="22"/>
          <w:szCs w:val="22"/>
          <w:lang w:val="en-US"/>
        </w:rPr>
        <w:t>emorandum of Understanding</w:t>
      </w:r>
      <w:r w:rsidRPr="008608BF">
        <w:rPr>
          <w:rFonts w:ascii="Times New Roman" w:hAnsi="Times New Roman"/>
          <w:iCs/>
          <w:sz w:val="22"/>
          <w:szCs w:val="22"/>
          <w:lang w:val="en-US"/>
        </w:rPr>
        <w:t>.</w:t>
      </w:r>
    </w:p>
    <w:p w:rsidR="008608BF" w:rsidRPr="003A40A0" w:rsidRDefault="003A40A0" w:rsidP="003A40A0">
      <w:pPr>
        <w:spacing w:after="130"/>
        <w:ind w:hanging="851"/>
        <w:rPr>
          <w:rFonts w:ascii="Times New Roman" w:hAnsi="Times New Roman"/>
          <w:iCs/>
          <w:sz w:val="22"/>
          <w:szCs w:val="22"/>
          <w:lang w:val="en-US"/>
        </w:rPr>
      </w:pPr>
      <w:r w:rsidRPr="003A40A0">
        <w:rPr>
          <w:rFonts w:ascii="Times New Roman" w:hAnsi="Times New Roman"/>
          <w:i/>
          <w:iCs/>
          <w:sz w:val="22"/>
          <w:szCs w:val="22"/>
          <w:lang w:val="en-US"/>
        </w:rPr>
        <w:t>4.</w:t>
      </w:r>
      <w:r w:rsidR="006B3C5C">
        <w:rPr>
          <w:rFonts w:ascii="Times New Roman" w:hAnsi="Times New Roman"/>
          <w:i/>
          <w:iCs/>
          <w:sz w:val="22"/>
          <w:szCs w:val="22"/>
          <w:lang w:val="en-US"/>
        </w:rPr>
        <w:t>1.1</w:t>
      </w:r>
      <w:r w:rsidRPr="003A40A0">
        <w:rPr>
          <w:rFonts w:ascii="Times New Roman" w:hAnsi="Times New Roman"/>
          <w:i/>
          <w:iCs/>
          <w:sz w:val="22"/>
          <w:szCs w:val="22"/>
          <w:lang w:val="en-US"/>
        </w:rPr>
        <w:t xml:space="preserve">.2 </w:t>
      </w:r>
      <w:r w:rsidRPr="003A40A0">
        <w:rPr>
          <w:rFonts w:ascii="Times New Roman" w:hAnsi="Times New Roman"/>
          <w:i/>
          <w:iCs/>
          <w:sz w:val="22"/>
          <w:szCs w:val="22"/>
          <w:lang w:val="en-US"/>
        </w:rPr>
        <w:tab/>
      </w:r>
      <w:r w:rsidR="008608BF" w:rsidRPr="003A40A0">
        <w:rPr>
          <w:rFonts w:ascii="Times New Roman" w:hAnsi="Times New Roman"/>
          <w:iCs/>
          <w:sz w:val="22"/>
          <w:szCs w:val="22"/>
          <w:lang w:val="en-US"/>
        </w:rPr>
        <w:t xml:space="preserve">On the basis of the considerations discussed above, it is the view of </w:t>
      </w:r>
      <w:r>
        <w:rPr>
          <w:rFonts w:ascii="Times New Roman" w:hAnsi="Times New Roman"/>
          <w:iCs/>
          <w:sz w:val="22"/>
          <w:szCs w:val="22"/>
          <w:lang w:val="en-US"/>
        </w:rPr>
        <w:t>the Government</w:t>
      </w:r>
      <w:r w:rsidR="008608BF" w:rsidRPr="003A40A0">
        <w:rPr>
          <w:rFonts w:ascii="Times New Roman" w:hAnsi="Times New Roman"/>
          <w:iCs/>
          <w:sz w:val="22"/>
          <w:szCs w:val="22"/>
          <w:lang w:val="en-US"/>
        </w:rPr>
        <w:t xml:space="preserve"> that the applicability of the proposed MRV Regulation would only be to limited ships flying the flag of an EU Member State and to ships (independent of the flag being flown) calling at EU ports from the moment of entrance into the internal waters of an EU Member State.</w:t>
      </w:r>
    </w:p>
    <w:p w:rsidR="008608BF" w:rsidRPr="008608BF" w:rsidRDefault="00C33978" w:rsidP="00893980">
      <w:pPr>
        <w:pStyle w:val="Heading4"/>
      </w:pPr>
      <w:r>
        <w:rPr>
          <w:lang w:val="en-US"/>
        </w:rPr>
        <w:t>4.</w:t>
      </w:r>
      <w:r w:rsidR="006B3C5C">
        <w:rPr>
          <w:lang w:val="en-US"/>
        </w:rPr>
        <w:t>1.2</w:t>
      </w:r>
      <w:r w:rsidR="00893980">
        <w:rPr>
          <w:lang w:val="en-US"/>
        </w:rPr>
        <w:t xml:space="preserve"> </w:t>
      </w:r>
      <w:r w:rsidR="00893980">
        <w:rPr>
          <w:lang w:val="en-US"/>
        </w:rPr>
        <w:tab/>
      </w:r>
      <w:r w:rsidR="008608BF" w:rsidRPr="008608BF">
        <w:t>The international negotiation aspect</w:t>
      </w:r>
    </w:p>
    <w:p w:rsidR="008608BF" w:rsidRDefault="00C33978" w:rsidP="00C33978">
      <w:pPr>
        <w:spacing w:after="130"/>
        <w:ind w:hanging="851"/>
        <w:rPr>
          <w:rFonts w:ascii="Times New Roman" w:hAnsi="Times New Roman"/>
          <w:iCs/>
          <w:sz w:val="22"/>
          <w:szCs w:val="22"/>
        </w:rPr>
      </w:pPr>
      <w:r w:rsidRPr="00C33978">
        <w:rPr>
          <w:rFonts w:ascii="Times New Roman" w:hAnsi="Times New Roman"/>
          <w:i/>
          <w:iCs/>
          <w:sz w:val="22"/>
          <w:szCs w:val="22"/>
        </w:rPr>
        <w:t>4.</w:t>
      </w:r>
      <w:r w:rsidR="006B3C5C">
        <w:rPr>
          <w:rFonts w:ascii="Times New Roman" w:hAnsi="Times New Roman"/>
          <w:i/>
          <w:iCs/>
          <w:sz w:val="22"/>
          <w:szCs w:val="22"/>
        </w:rPr>
        <w:t>1.2.1</w:t>
      </w:r>
      <w:r>
        <w:rPr>
          <w:rFonts w:ascii="Times New Roman" w:hAnsi="Times New Roman"/>
          <w:iCs/>
          <w:sz w:val="22"/>
          <w:szCs w:val="22"/>
        </w:rPr>
        <w:t xml:space="preserve"> </w:t>
      </w:r>
      <w:r>
        <w:rPr>
          <w:rFonts w:ascii="Times New Roman" w:hAnsi="Times New Roman"/>
          <w:iCs/>
          <w:sz w:val="22"/>
          <w:szCs w:val="22"/>
        </w:rPr>
        <w:tab/>
      </w:r>
      <w:r w:rsidR="008608BF" w:rsidRPr="008608BF">
        <w:rPr>
          <w:rFonts w:ascii="Times New Roman" w:hAnsi="Times New Roman"/>
          <w:iCs/>
          <w:sz w:val="22"/>
          <w:szCs w:val="22"/>
        </w:rPr>
        <w:t xml:space="preserve">It is understood that only a global instrument created under the auspices of IMO can efficiently regulate the shipping industry and its emissions due to the </w:t>
      </w:r>
      <w:r w:rsidR="008608BF" w:rsidRPr="008608BF">
        <w:rPr>
          <w:rFonts w:ascii="Times New Roman" w:hAnsi="Times New Roman"/>
          <w:i/>
          <w:iCs/>
          <w:sz w:val="22"/>
          <w:szCs w:val="22"/>
        </w:rPr>
        <w:t>sui generis</w:t>
      </w:r>
      <w:r w:rsidR="008608BF" w:rsidRPr="008608BF">
        <w:rPr>
          <w:rFonts w:ascii="Times New Roman" w:hAnsi="Times New Roman"/>
          <w:iCs/>
          <w:sz w:val="22"/>
          <w:szCs w:val="22"/>
        </w:rPr>
        <w:t xml:space="preserve"> of the shipping industry and its international environment. The statement by the Commission that there was no development in the discussions at IMO with regards to emissions does not take into consideration the recent adoption of the amendments to MARPOL Annex V1 Chapter 4 resulting in the creation of the </w:t>
      </w:r>
      <w:r w:rsidR="003A40A0" w:rsidRPr="003A40A0">
        <w:rPr>
          <w:rFonts w:ascii="Times New Roman" w:hAnsi="Times New Roman"/>
          <w:iCs/>
          <w:sz w:val="22"/>
          <w:szCs w:val="22"/>
        </w:rPr>
        <w:t xml:space="preserve">Energy Efficiency Design Index </w:t>
      </w:r>
      <w:r w:rsidR="003A40A0">
        <w:rPr>
          <w:rFonts w:ascii="Times New Roman" w:hAnsi="Times New Roman"/>
          <w:iCs/>
          <w:sz w:val="22"/>
          <w:szCs w:val="22"/>
        </w:rPr>
        <w:t>(</w:t>
      </w:r>
      <w:r w:rsidR="008608BF" w:rsidRPr="008608BF">
        <w:rPr>
          <w:rFonts w:ascii="Times New Roman" w:hAnsi="Times New Roman"/>
          <w:iCs/>
          <w:sz w:val="22"/>
          <w:szCs w:val="22"/>
        </w:rPr>
        <w:t>EEDI</w:t>
      </w:r>
      <w:r w:rsidR="003A40A0">
        <w:rPr>
          <w:rFonts w:ascii="Times New Roman" w:hAnsi="Times New Roman"/>
          <w:iCs/>
          <w:sz w:val="22"/>
          <w:szCs w:val="22"/>
        </w:rPr>
        <w:t>)</w:t>
      </w:r>
      <w:r w:rsidR="008608BF" w:rsidRPr="008608BF">
        <w:rPr>
          <w:rFonts w:ascii="Times New Roman" w:hAnsi="Times New Roman"/>
          <w:iCs/>
          <w:sz w:val="22"/>
          <w:szCs w:val="22"/>
        </w:rPr>
        <w:t xml:space="preserve"> formula for new ships and </w:t>
      </w:r>
      <w:r w:rsidR="003A40A0" w:rsidRPr="003A40A0">
        <w:rPr>
          <w:rFonts w:ascii="Times New Roman" w:hAnsi="Times New Roman"/>
          <w:iCs/>
          <w:sz w:val="22"/>
          <w:szCs w:val="22"/>
        </w:rPr>
        <w:t xml:space="preserve">Ship Energy Efficiency Management Plan </w:t>
      </w:r>
      <w:r w:rsidR="003A40A0">
        <w:rPr>
          <w:rFonts w:ascii="Times New Roman" w:hAnsi="Times New Roman"/>
          <w:iCs/>
          <w:sz w:val="22"/>
          <w:szCs w:val="22"/>
        </w:rPr>
        <w:t>(</w:t>
      </w:r>
      <w:r w:rsidR="008608BF" w:rsidRPr="008608BF">
        <w:rPr>
          <w:rFonts w:ascii="Times New Roman" w:hAnsi="Times New Roman"/>
          <w:iCs/>
          <w:sz w:val="22"/>
          <w:szCs w:val="22"/>
        </w:rPr>
        <w:t>SEEMP</w:t>
      </w:r>
      <w:r w:rsidR="003A40A0">
        <w:rPr>
          <w:rFonts w:ascii="Times New Roman" w:hAnsi="Times New Roman"/>
          <w:iCs/>
          <w:sz w:val="22"/>
          <w:szCs w:val="22"/>
        </w:rPr>
        <w:t>)</w:t>
      </w:r>
      <w:r w:rsidR="008608BF" w:rsidRPr="008608BF">
        <w:rPr>
          <w:rFonts w:ascii="Times New Roman" w:hAnsi="Times New Roman"/>
          <w:iCs/>
          <w:sz w:val="22"/>
          <w:szCs w:val="22"/>
        </w:rPr>
        <w:t xml:space="preserve"> for existing ones.  Furthermore, a scheme specifically addressing MRV issues in respect of international shipping has been suggested at IMO level as an interim measure until Market Based Measures for the further promotion of improvement of energy efficiency of ships are agreed upon.</w:t>
      </w:r>
    </w:p>
    <w:p w:rsidR="008608BF" w:rsidRPr="00C33978" w:rsidRDefault="00C33978" w:rsidP="00C33978">
      <w:pPr>
        <w:spacing w:after="130"/>
        <w:ind w:hanging="851"/>
        <w:rPr>
          <w:rFonts w:ascii="Times New Roman" w:hAnsi="Times New Roman"/>
          <w:iCs/>
          <w:sz w:val="22"/>
          <w:szCs w:val="22"/>
        </w:rPr>
      </w:pPr>
      <w:r w:rsidRPr="00C33978">
        <w:rPr>
          <w:rFonts w:ascii="Times New Roman" w:hAnsi="Times New Roman"/>
          <w:i/>
          <w:iCs/>
          <w:sz w:val="22"/>
          <w:szCs w:val="22"/>
        </w:rPr>
        <w:t>4.</w:t>
      </w:r>
      <w:r w:rsidR="006B3C5C">
        <w:rPr>
          <w:rFonts w:ascii="Times New Roman" w:hAnsi="Times New Roman"/>
          <w:i/>
          <w:iCs/>
          <w:sz w:val="22"/>
          <w:szCs w:val="22"/>
        </w:rPr>
        <w:t>1.2.2</w:t>
      </w:r>
      <w:r w:rsidRPr="00C33978">
        <w:rPr>
          <w:rFonts w:ascii="Times New Roman" w:hAnsi="Times New Roman"/>
          <w:i/>
          <w:iCs/>
          <w:sz w:val="22"/>
          <w:szCs w:val="22"/>
        </w:rPr>
        <w:t xml:space="preserve"> </w:t>
      </w:r>
      <w:r w:rsidRPr="00C33978">
        <w:rPr>
          <w:rFonts w:ascii="Times New Roman" w:hAnsi="Times New Roman"/>
          <w:i/>
          <w:iCs/>
          <w:sz w:val="22"/>
          <w:szCs w:val="22"/>
        </w:rPr>
        <w:tab/>
      </w:r>
      <w:r w:rsidR="008608BF" w:rsidRPr="00C33978">
        <w:rPr>
          <w:rFonts w:ascii="Times New Roman" w:hAnsi="Times New Roman"/>
          <w:iCs/>
          <w:sz w:val="22"/>
          <w:szCs w:val="22"/>
        </w:rPr>
        <w:t>A regional instrument on MRV at this time when the IMO has already commenced discussions to this effect could be counterproductive in the deliberations and negotiations with other IMO states, particu</w:t>
      </w:r>
      <w:r w:rsidR="0038339E" w:rsidRPr="00C33978">
        <w:rPr>
          <w:rFonts w:ascii="Times New Roman" w:hAnsi="Times New Roman"/>
          <w:iCs/>
          <w:sz w:val="22"/>
          <w:szCs w:val="22"/>
        </w:rPr>
        <w:t xml:space="preserve">larly with developing states. </w:t>
      </w:r>
      <w:r w:rsidR="008608BF" w:rsidRPr="00C33978">
        <w:rPr>
          <w:rFonts w:ascii="Times New Roman" w:hAnsi="Times New Roman"/>
          <w:iCs/>
          <w:sz w:val="22"/>
          <w:szCs w:val="22"/>
        </w:rPr>
        <w:t xml:space="preserve">The latter will definitely challenge the legitimacy of the regional instrument in various fora especially within IMO and </w:t>
      </w:r>
      <w:r w:rsidR="003A40A0">
        <w:rPr>
          <w:rFonts w:ascii="Times New Roman" w:hAnsi="Times New Roman"/>
          <w:iCs/>
          <w:sz w:val="22"/>
          <w:szCs w:val="22"/>
        </w:rPr>
        <w:t>the World Trade Organisation (</w:t>
      </w:r>
      <w:r w:rsidR="008608BF" w:rsidRPr="00C33978">
        <w:rPr>
          <w:rFonts w:ascii="Times New Roman" w:hAnsi="Times New Roman"/>
          <w:iCs/>
          <w:sz w:val="22"/>
          <w:szCs w:val="22"/>
        </w:rPr>
        <w:t>WTO</w:t>
      </w:r>
      <w:r w:rsidR="003A40A0">
        <w:rPr>
          <w:rFonts w:ascii="Times New Roman" w:hAnsi="Times New Roman"/>
          <w:iCs/>
          <w:sz w:val="22"/>
          <w:szCs w:val="22"/>
        </w:rPr>
        <w:t>)</w:t>
      </w:r>
      <w:r w:rsidR="008608BF" w:rsidRPr="00C33978">
        <w:rPr>
          <w:rFonts w:ascii="Times New Roman" w:hAnsi="Times New Roman"/>
          <w:iCs/>
          <w:sz w:val="22"/>
          <w:szCs w:val="22"/>
        </w:rPr>
        <w:t xml:space="preserve"> as the regional instrument can be construed as an initial phase to a market based instrument that has not been internationally agreed upon within the appropriate forum.</w:t>
      </w:r>
    </w:p>
    <w:p w:rsidR="008608BF" w:rsidRDefault="00C33978" w:rsidP="00893980">
      <w:pPr>
        <w:pStyle w:val="Heading4"/>
        <w:rPr>
          <w:lang w:val="en-US"/>
        </w:rPr>
      </w:pPr>
      <w:r>
        <w:rPr>
          <w:lang w:val="en-US"/>
        </w:rPr>
        <w:t>4.</w:t>
      </w:r>
      <w:r w:rsidR="006B3C5C">
        <w:rPr>
          <w:lang w:val="en-US"/>
        </w:rPr>
        <w:t>1.3</w:t>
      </w:r>
      <w:r w:rsidR="00893980">
        <w:rPr>
          <w:lang w:val="en-US"/>
        </w:rPr>
        <w:tab/>
      </w:r>
      <w:r w:rsidR="008608BF" w:rsidRPr="008608BF">
        <w:rPr>
          <w:lang w:val="en-US"/>
        </w:rPr>
        <w:t>The Environmental and Climate Change Perspective</w:t>
      </w:r>
    </w:p>
    <w:p w:rsidR="008608BF" w:rsidRDefault="00C33978" w:rsidP="003A40A0">
      <w:pPr>
        <w:spacing w:after="130"/>
        <w:ind w:hanging="851"/>
        <w:rPr>
          <w:rFonts w:ascii="Times New Roman" w:hAnsi="Times New Roman"/>
          <w:iCs/>
          <w:sz w:val="22"/>
          <w:szCs w:val="22"/>
          <w:lang w:val="en-US"/>
        </w:rPr>
      </w:pPr>
      <w:r>
        <w:rPr>
          <w:rFonts w:ascii="Times New Roman" w:hAnsi="Times New Roman"/>
          <w:i/>
          <w:iCs/>
          <w:sz w:val="22"/>
          <w:szCs w:val="22"/>
          <w:lang w:val="en-US"/>
        </w:rPr>
        <w:t>4.</w:t>
      </w:r>
      <w:r w:rsidR="006B3C5C">
        <w:rPr>
          <w:rFonts w:ascii="Times New Roman" w:hAnsi="Times New Roman"/>
          <w:i/>
          <w:iCs/>
          <w:sz w:val="22"/>
          <w:szCs w:val="22"/>
          <w:lang w:val="en-US"/>
        </w:rPr>
        <w:t>1.3.1</w:t>
      </w:r>
      <w:r>
        <w:rPr>
          <w:rFonts w:ascii="Times New Roman" w:hAnsi="Times New Roman"/>
          <w:i/>
          <w:iCs/>
          <w:sz w:val="22"/>
          <w:szCs w:val="22"/>
          <w:lang w:val="en-US"/>
        </w:rPr>
        <w:t xml:space="preserve"> </w:t>
      </w:r>
      <w:r>
        <w:rPr>
          <w:rFonts w:ascii="Times New Roman" w:hAnsi="Times New Roman"/>
          <w:i/>
          <w:iCs/>
          <w:sz w:val="22"/>
          <w:szCs w:val="22"/>
          <w:lang w:val="en-US"/>
        </w:rPr>
        <w:tab/>
      </w:r>
      <w:r w:rsidR="003A40A0">
        <w:rPr>
          <w:rFonts w:ascii="Times New Roman" w:hAnsi="Times New Roman"/>
          <w:iCs/>
          <w:sz w:val="22"/>
          <w:szCs w:val="22"/>
          <w:lang w:val="en-US"/>
        </w:rPr>
        <w:t>The Government</w:t>
      </w:r>
      <w:r w:rsidR="008608BF" w:rsidRPr="008608BF">
        <w:rPr>
          <w:rFonts w:ascii="Times New Roman" w:hAnsi="Times New Roman"/>
          <w:iCs/>
          <w:sz w:val="22"/>
          <w:szCs w:val="22"/>
          <w:lang w:val="en-US"/>
        </w:rPr>
        <w:t xml:space="preserve"> believes that any regional instrument, considering all its potential negative repercussions on the shipping industry and on the  ability of EU Member States to negotiate effectively at IMO and within other international fora, must be justified in some form of commensurate benefit to be attained by the environment. </w:t>
      </w:r>
      <w:r w:rsidR="003A40A0">
        <w:rPr>
          <w:rFonts w:ascii="Times New Roman" w:hAnsi="Times New Roman"/>
          <w:iCs/>
          <w:sz w:val="22"/>
          <w:szCs w:val="22"/>
          <w:lang w:val="en-US"/>
        </w:rPr>
        <w:t>The Government</w:t>
      </w:r>
      <w:r w:rsidR="008608BF" w:rsidRPr="008608BF">
        <w:rPr>
          <w:rFonts w:ascii="Times New Roman" w:hAnsi="Times New Roman"/>
          <w:iCs/>
          <w:sz w:val="22"/>
          <w:szCs w:val="22"/>
          <w:lang w:val="en-US"/>
        </w:rPr>
        <w:t xml:space="preserve"> believes that this does not seem to be the case with regards to this instrument due to the lack of applicability to all ships entering EU waters, since the instrument does not cover all ships that enter EU ports (due to the “</w:t>
      </w:r>
      <w:r w:rsidR="008608BF" w:rsidRPr="008608BF">
        <w:rPr>
          <w:rFonts w:ascii="Times New Roman" w:hAnsi="Times New Roman"/>
          <w:i/>
          <w:iCs/>
          <w:sz w:val="22"/>
          <w:szCs w:val="22"/>
          <w:lang w:val="en-US"/>
        </w:rPr>
        <w:t>de minimis</w:t>
      </w:r>
      <w:r w:rsidR="008608BF" w:rsidRPr="008608BF">
        <w:rPr>
          <w:rFonts w:ascii="Times New Roman" w:hAnsi="Times New Roman"/>
          <w:iCs/>
          <w:sz w:val="22"/>
          <w:szCs w:val="22"/>
          <w:lang w:val="en-US"/>
        </w:rPr>
        <w:t xml:space="preserve">” clause in Article 2 of the </w:t>
      </w:r>
      <w:r w:rsidR="006B3C5C">
        <w:rPr>
          <w:rFonts w:ascii="Times New Roman" w:hAnsi="Times New Roman"/>
          <w:iCs/>
          <w:sz w:val="22"/>
          <w:szCs w:val="22"/>
          <w:lang w:val="en-US"/>
        </w:rPr>
        <w:t>P</w:t>
      </w:r>
      <w:r w:rsidR="008608BF" w:rsidRPr="008608BF">
        <w:rPr>
          <w:rFonts w:ascii="Times New Roman" w:hAnsi="Times New Roman"/>
          <w:iCs/>
          <w:sz w:val="22"/>
          <w:szCs w:val="22"/>
          <w:lang w:val="en-US"/>
        </w:rPr>
        <w:t>roposal) and does not cover ships that despite entering EU waters do not call at an EU</w:t>
      </w:r>
      <w:r w:rsidR="003A40A0">
        <w:rPr>
          <w:rFonts w:ascii="Times New Roman" w:hAnsi="Times New Roman"/>
          <w:iCs/>
          <w:sz w:val="22"/>
          <w:szCs w:val="22"/>
          <w:lang w:val="en-US"/>
        </w:rPr>
        <w:t xml:space="preserve"> port</w:t>
      </w:r>
      <w:r w:rsidR="008608BF" w:rsidRPr="008608BF">
        <w:rPr>
          <w:rFonts w:ascii="Times New Roman" w:hAnsi="Times New Roman"/>
          <w:iCs/>
          <w:sz w:val="22"/>
          <w:szCs w:val="22"/>
          <w:lang w:val="en-US"/>
        </w:rPr>
        <w:t xml:space="preserve"> and only partially applies to vessels that do call at an EU port (that is from t he moment they enter into internal waters).  On the other hand, extending its applicability to all ships entering EU waters is not possible due to the impossibility to impinge on the right of innocent passage, a right entrenched in international law (as discussed above). Therefore</w:t>
      </w:r>
      <w:r w:rsidR="003A40A0">
        <w:rPr>
          <w:rFonts w:ascii="Times New Roman" w:hAnsi="Times New Roman"/>
          <w:iCs/>
          <w:sz w:val="22"/>
          <w:szCs w:val="22"/>
          <w:lang w:val="en-US"/>
        </w:rPr>
        <w:t>,</w:t>
      </w:r>
      <w:r w:rsidR="008608BF" w:rsidRPr="008608BF">
        <w:rPr>
          <w:rFonts w:ascii="Times New Roman" w:hAnsi="Times New Roman"/>
          <w:iCs/>
          <w:sz w:val="22"/>
          <w:szCs w:val="22"/>
          <w:lang w:val="en-US"/>
        </w:rPr>
        <w:t xml:space="preserve"> there is a strong risk that the statistics and data that will be gathered will prove to be useless due to its large margin of inaccuracy and due to its inability to provide a truthful picture of the real emissions produced by ships. </w:t>
      </w:r>
    </w:p>
    <w:p w:rsidR="008608BF" w:rsidRPr="00C33978" w:rsidRDefault="00C33978" w:rsidP="00C33978">
      <w:pPr>
        <w:spacing w:after="130"/>
        <w:ind w:hanging="851"/>
        <w:rPr>
          <w:rFonts w:ascii="Times New Roman" w:hAnsi="Times New Roman"/>
          <w:sz w:val="22"/>
          <w:szCs w:val="22"/>
        </w:rPr>
      </w:pPr>
      <w:r w:rsidRPr="00C33978">
        <w:rPr>
          <w:rFonts w:ascii="Times New Roman" w:hAnsi="Times New Roman"/>
          <w:i/>
          <w:sz w:val="22"/>
          <w:szCs w:val="22"/>
        </w:rPr>
        <w:t>4.</w:t>
      </w:r>
      <w:r w:rsidR="006B3C5C">
        <w:rPr>
          <w:rFonts w:ascii="Times New Roman" w:hAnsi="Times New Roman"/>
          <w:i/>
          <w:sz w:val="22"/>
          <w:szCs w:val="22"/>
        </w:rPr>
        <w:t>1.3.2</w:t>
      </w:r>
      <w:r w:rsidRPr="00C33978">
        <w:rPr>
          <w:rFonts w:ascii="Times New Roman" w:hAnsi="Times New Roman"/>
          <w:i/>
          <w:sz w:val="22"/>
          <w:szCs w:val="22"/>
        </w:rPr>
        <w:tab/>
      </w:r>
      <w:r w:rsidR="008608BF" w:rsidRPr="00C33978">
        <w:rPr>
          <w:rFonts w:ascii="Times New Roman" w:hAnsi="Times New Roman"/>
          <w:sz w:val="22"/>
          <w:szCs w:val="22"/>
        </w:rPr>
        <w:t xml:space="preserve">It is fair to state that from a climate change perspective action, at whatever level, that contributes to the limitation or reduction of GHG emissions is welcome.  However, global action remains the optimal solution and should be the ultimate goal.  </w:t>
      </w:r>
    </w:p>
    <w:p w:rsidR="008608BF" w:rsidRPr="00C33978" w:rsidRDefault="00C33978" w:rsidP="00C33978">
      <w:pPr>
        <w:spacing w:after="130"/>
        <w:ind w:hanging="851"/>
        <w:rPr>
          <w:rFonts w:ascii="Times New Roman" w:hAnsi="Times New Roman"/>
          <w:sz w:val="22"/>
          <w:szCs w:val="22"/>
        </w:rPr>
      </w:pPr>
      <w:r w:rsidRPr="00C33978">
        <w:rPr>
          <w:rFonts w:ascii="Times New Roman" w:hAnsi="Times New Roman"/>
          <w:i/>
          <w:sz w:val="22"/>
          <w:szCs w:val="22"/>
        </w:rPr>
        <w:t>4.</w:t>
      </w:r>
      <w:r w:rsidR="006B3C5C">
        <w:rPr>
          <w:rFonts w:ascii="Times New Roman" w:hAnsi="Times New Roman"/>
          <w:i/>
          <w:sz w:val="22"/>
          <w:szCs w:val="22"/>
        </w:rPr>
        <w:t>1.3.4</w:t>
      </w:r>
      <w:r w:rsidRPr="00C33978">
        <w:rPr>
          <w:rFonts w:ascii="Times New Roman" w:hAnsi="Times New Roman"/>
          <w:i/>
          <w:sz w:val="22"/>
          <w:szCs w:val="22"/>
        </w:rPr>
        <w:t xml:space="preserve"> </w:t>
      </w:r>
      <w:r w:rsidRPr="00C33978">
        <w:rPr>
          <w:rFonts w:ascii="Times New Roman" w:hAnsi="Times New Roman"/>
          <w:i/>
          <w:sz w:val="22"/>
          <w:szCs w:val="22"/>
        </w:rPr>
        <w:tab/>
      </w:r>
      <w:r w:rsidR="008608BF" w:rsidRPr="00C33978">
        <w:rPr>
          <w:rFonts w:ascii="Times New Roman" w:hAnsi="Times New Roman"/>
          <w:sz w:val="22"/>
          <w:szCs w:val="22"/>
        </w:rPr>
        <w:t>One recogni</w:t>
      </w:r>
      <w:r w:rsidR="006B3C5C">
        <w:rPr>
          <w:rFonts w:ascii="Times New Roman" w:hAnsi="Times New Roman"/>
          <w:sz w:val="22"/>
          <w:szCs w:val="22"/>
        </w:rPr>
        <w:t>s</w:t>
      </w:r>
      <w:r w:rsidR="008608BF" w:rsidRPr="00C33978">
        <w:rPr>
          <w:rFonts w:ascii="Times New Roman" w:hAnsi="Times New Roman"/>
          <w:sz w:val="22"/>
          <w:szCs w:val="22"/>
        </w:rPr>
        <w:t xml:space="preserve">es that the MRV </w:t>
      </w:r>
      <w:r w:rsidR="003A40A0">
        <w:rPr>
          <w:rFonts w:ascii="Times New Roman" w:hAnsi="Times New Roman"/>
          <w:sz w:val="22"/>
          <w:szCs w:val="22"/>
        </w:rPr>
        <w:t>P</w:t>
      </w:r>
      <w:r w:rsidR="008608BF" w:rsidRPr="00C33978">
        <w:rPr>
          <w:rFonts w:ascii="Times New Roman" w:hAnsi="Times New Roman"/>
          <w:sz w:val="22"/>
          <w:szCs w:val="22"/>
        </w:rPr>
        <w:t xml:space="preserve">roposal is being recommended as just a first step in a gradual approach towards the adoption of a regulatory measure that addresses specifically the limitation or reduction of emissions from shipping.  Indeed one can argue that the delay envisaged in adopting a measure addressing emission control is not beneficial for climate change purposes (the scientifically-based mitigation pathway looks at major reductions in global emissions by 2050) and therefore such monitoring would be a major step forward. However, due to the issues discussed above, there is the risk of creating a picture which provides as biased and less than optimal picture of actual emissions, and this at the risk of antagonising partners in the international forum and diverting precious resources away from efforts to reduce greenhouse gas emissions form ships and towards ironing differences between partners.   </w:t>
      </w:r>
    </w:p>
    <w:p w:rsidR="008608BF" w:rsidRPr="00C33978" w:rsidRDefault="00C33978" w:rsidP="003A40A0">
      <w:pPr>
        <w:spacing w:after="130"/>
        <w:ind w:hanging="851"/>
        <w:rPr>
          <w:rFonts w:ascii="Times New Roman" w:hAnsi="Times New Roman"/>
          <w:iCs/>
          <w:sz w:val="22"/>
          <w:szCs w:val="22"/>
          <w:lang w:val="en-US"/>
        </w:rPr>
      </w:pPr>
      <w:r w:rsidRPr="00C33978">
        <w:rPr>
          <w:rFonts w:ascii="Times New Roman" w:hAnsi="Times New Roman"/>
          <w:i/>
          <w:sz w:val="22"/>
          <w:szCs w:val="22"/>
        </w:rPr>
        <w:t>4.</w:t>
      </w:r>
      <w:r w:rsidR="00A266D3">
        <w:rPr>
          <w:rFonts w:ascii="Times New Roman" w:hAnsi="Times New Roman"/>
          <w:i/>
          <w:sz w:val="22"/>
          <w:szCs w:val="22"/>
        </w:rPr>
        <w:t>1.3.5</w:t>
      </w:r>
      <w:r w:rsidRPr="00C33978">
        <w:rPr>
          <w:rFonts w:ascii="Times New Roman" w:hAnsi="Times New Roman"/>
          <w:i/>
          <w:sz w:val="22"/>
          <w:szCs w:val="22"/>
        </w:rPr>
        <w:t xml:space="preserve"> </w:t>
      </w:r>
      <w:r w:rsidRPr="00C33978">
        <w:rPr>
          <w:rFonts w:ascii="Times New Roman" w:hAnsi="Times New Roman"/>
          <w:i/>
          <w:sz w:val="22"/>
          <w:szCs w:val="22"/>
        </w:rPr>
        <w:tab/>
      </w:r>
      <w:r w:rsidR="008608BF" w:rsidRPr="00C33978">
        <w:rPr>
          <w:rFonts w:ascii="Times New Roman" w:hAnsi="Times New Roman"/>
          <w:sz w:val="22"/>
          <w:szCs w:val="22"/>
        </w:rPr>
        <w:t>It is recognised that international maritime shipping remains the only anthropogenic source of GHG emissions not covered by any EU legislation relating to the reduction or limitation of such emissions.  The Impact Assessment estimates that MRV on its own can already contribute a 2% reduction in emissions compared to business-as-usual.  This points towards a potentially significant contribution of the sector to overall emission control if strong regulatory measures (</w:t>
      </w:r>
      <w:r>
        <w:rPr>
          <w:rFonts w:ascii="Times New Roman" w:hAnsi="Times New Roman"/>
          <w:sz w:val="22"/>
          <w:szCs w:val="22"/>
        </w:rPr>
        <w:t>for example,</w:t>
      </w:r>
      <w:r w:rsidR="008608BF" w:rsidRPr="00C33978">
        <w:rPr>
          <w:rFonts w:ascii="Times New Roman" w:hAnsi="Times New Roman"/>
          <w:sz w:val="22"/>
          <w:szCs w:val="22"/>
        </w:rPr>
        <w:t xml:space="preserve"> market-based measures), complementing existing and new technological and operational approaches, are established in respect of emissions from international shipping.  From a climate change perspective this is a positive consideration to keep in mind; however, in order to further ensure that the effort made by other economic sectors towards maintaining the 2</w:t>
      </w:r>
      <w:r w:rsidR="008608BF" w:rsidRPr="00C33978">
        <w:rPr>
          <w:rFonts w:ascii="Times New Roman" w:hAnsi="Times New Roman"/>
          <w:sz w:val="22"/>
          <w:szCs w:val="22"/>
          <w:vertAlign w:val="superscript"/>
        </w:rPr>
        <w:t>o</w:t>
      </w:r>
      <w:r w:rsidR="008608BF" w:rsidRPr="00C33978">
        <w:rPr>
          <w:rFonts w:ascii="Times New Roman" w:hAnsi="Times New Roman"/>
          <w:sz w:val="22"/>
          <w:szCs w:val="22"/>
        </w:rPr>
        <w:t>C goal is not jeopardi</w:t>
      </w:r>
      <w:r w:rsidR="00A266D3">
        <w:rPr>
          <w:rFonts w:ascii="Times New Roman" w:hAnsi="Times New Roman"/>
          <w:sz w:val="22"/>
          <w:szCs w:val="22"/>
        </w:rPr>
        <w:t>s</w:t>
      </w:r>
      <w:r w:rsidR="008608BF" w:rsidRPr="00C33978">
        <w:rPr>
          <w:rFonts w:ascii="Times New Roman" w:hAnsi="Times New Roman"/>
          <w:sz w:val="22"/>
          <w:szCs w:val="22"/>
        </w:rPr>
        <w:t>ed by emission increases in the international maritime sector; global action remains the better solution.</w:t>
      </w:r>
    </w:p>
    <w:p w:rsidR="008608BF" w:rsidRPr="008608BF" w:rsidRDefault="00C33978" w:rsidP="003A40A0">
      <w:pPr>
        <w:pStyle w:val="body0"/>
        <w:spacing w:after="130" w:afterAutospacing="0"/>
        <w:ind w:hanging="851"/>
        <w:jc w:val="both"/>
        <w:rPr>
          <w:rFonts w:eastAsia="TrebuchetMS"/>
          <w:sz w:val="22"/>
          <w:szCs w:val="22"/>
        </w:rPr>
      </w:pPr>
      <w:r w:rsidRPr="00C33978">
        <w:rPr>
          <w:rFonts w:eastAsia="TrebuchetMS"/>
          <w:i/>
          <w:sz w:val="22"/>
          <w:szCs w:val="22"/>
        </w:rPr>
        <w:t>4.</w:t>
      </w:r>
      <w:r w:rsidR="00A266D3">
        <w:rPr>
          <w:rFonts w:eastAsia="TrebuchetMS"/>
          <w:i/>
          <w:sz w:val="22"/>
          <w:szCs w:val="22"/>
        </w:rPr>
        <w:t>1.3.6</w:t>
      </w:r>
      <w:r>
        <w:rPr>
          <w:rFonts w:eastAsia="TrebuchetMS"/>
          <w:sz w:val="22"/>
          <w:szCs w:val="22"/>
        </w:rPr>
        <w:t xml:space="preserve"> </w:t>
      </w:r>
      <w:r>
        <w:rPr>
          <w:rFonts w:eastAsia="TrebuchetMS"/>
          <w:sz w:val="22"/>
          <w:szCs w:val="22"/>
        </w:rPr>
        <w:tab/>
      </w:r>
      <w:r w:rsidR="003A40A0">
        <w:rPr>
          <w:rFonts w:eastAsia="TrebuchetMS"/>
          <w:sz w:val="22"/>
          <w:szCs w:val="22"/>
        </w:rPr>
        <w:t>The Government</w:t>
      </w:r>
      <w:r w:rsidR="008608BF" w:rsidRPr="008608BF">
        <w:rPr>
          <w:rFonts w:eastAsia="TrebuchetMS"/>
          <w:sz w:val="22"/>
          <w:szCs w:val="22"/>
        </w:rPr>
        <w:t xml:space="preserve"> underscores that any attempt to address this issue by the EU unilaterally would not achieve the desired environmental outcomes. </w:t>
      </w:r>
      <w:r w:rsidR="003A40A0">
        <w:rPr>
          <w:rFonts w:eastAsia="TrebuchetMS"/>
          <w:sz w:val="22"/>
          <w:szCs w:val="22"/>
        </w:rPr>
        <w:t>The Government</w:t>
      </w:r>
      <w:r w:rsidR="008608BF" w:rsidRPr="008608BF">
        <w:rPr>
          <w:rFonts w:eastAsia="TrebuchetMS"/>
          <w:sz w:val="22"/>
          <w:szCs w:val="22"/>
        </w:rPr>
        <w:t xml:space="preserve"> would like to emphasise that due to the complex and global nature of the maritime industry, implementing mandatory reductions or limitations at the regional level would only result in distortion of competition and carbon leakage.</w:t>
      </w:r>
    </w:p>
    <w:p w:rsidR="008608BF" w:rsidRPr="008608BF" w:rsidRDefault="00C33978" w:rsidP="00C33978">
      <w:pPr>
        <w:pStyle w:val="body0"/>
        <w:spacing w:after="130" w:afterAutospacing="0"/>
        <w:ind w:hanging="851"/>
        <w:jc w:val="both"/>
        <w:rPr>
          <w:sz w:val="22"/>
          <w:szCs w:val="22"/>
        </w:rPr>
      </w:pPr>
      <w:r w:rsidRPr="00C33978">
        <w:rPr>
          <w:i/>
          <w:sz w:val="22"/>
          <w:szCs w:val="22"/>
        </w:rPr>
        <w:t>4.</w:t>
      </w:r>
      <w:r w:rsidR="00A266D3">
        <w:rPr>
          <w:i/>
          <w:sz w:val="22"/>
          <w:szCs w:val="22"/>
        </w:rPr>
        <w:t>1.3.7</w:t>
      </w:r>
      <w:r>
        <w:rPr>
          <w:sz w:val="22"/>
          <w:szCs w:val="22"/>
        </w:rPr>
        <w:t xml:space="preserve"> </w:t>
      </w:r>
      <w:r>
        <w:rPr>
          <w:sz w:val="22"/>
          <w:szCs w:val="22"/>
        </w:rPr>
        <w:tab/>
      </w:r>
      <w:r w:rsidR="003A40A0">
        <w:rPr>
          <w:sz w:val="22"/>
          <w:szCs w:val="22"/>
        </w:rPr>
        <w:t>The Government</w:t>
      </w:r>
      <w:r w:rsidR="008608BF" w:rsidRPr="008608BF">
        <w:rPr>
          <w:sz w:val="22"/>
          <w:szCs w:val="22"/>
        </w:rPr>
        <w:t xml:space="preserve"> believes that the creation of an international instrument to address maritime emissions, as opposed to an instrument solely applicable within the European region, is fundamental as the latter would render shipping within </w:t>
      </w:r>
      <w:smartTag w:uri="urn:schemas-microsoft-com:office:smarttags" w:element="place">
        <w:r w:rsidR="008608BF" w:rsidRPr="008608BF">
          <w:rPr>
            <w:sz w:val="22"/>
            <w:szCs w:val="22"/>
          </w:rPr>
          <w:t>Europe</w:t>
        </w:r>
      </w:smartTag>
      <w:r w:rsidR="008608BF" w:rsidRPr="008608BF">
        <w:rPr>
          <w:sz w:val="22"/>
          <w:szCs w:val="22"/>
        </w:rPr>
        <w:t xml:space="preserve"> more onerous when compared to non-European counterparts and indeed be counterproductive to the ongoing negotiations. It is considered that any EU regional action will have the worst possible outcome in terms of reaching environmental objectives, overall maritime safety as well as for </w:t>
      </w:r>
      <w:smartTag w:uri="urn:schemas-microsoft-com:office:smarttags" w:element="country-region">
        <w:smartTag w:uri="urn:schemas-microsoft-com:office:smarttags" w:element="place">
          <w:r w:rsidR="008608BF" w:rsidRPr="008608BF">
            <w:rPr>
              <w:sz w:val="22"/>
              <w:szCs w:val="22"/>
            </w:rPr>
            <w:t>Malta</w:t>
          </w:r>
        </w:smartTag>
      </w:smartTag>
      <w:r w:rsidR="008608BF" w:rsidRPr="008608BF">
        <w:rPr>
          <w:sz w:val="22"/>
          <w:szCs w:val="22"/>
        </w:rPr>
        <w:t>’s economic and trade links and development.</w:t>
      </w:r>
    </w:p>
    <w:p w:rsidR="004536CE" w:rsidRDefault="00C33978" w:rsidP="00893980">
      <w:pPr>
        <w:pStyle w:val="Heading4"/>
      </w:pPr>
      <w:r>
        <w:rPr>
          <w:lang w:val="en-US"/>
        </w:rPr>
        <w:t>4.</w:t>
      </w:r>
      <w:r w:rsidR="00A266D3">
        <w:rPr>
          <w:lang w:val="en-US"/>
        </w:rPr>
        <w:t>1.4</w:t>
      </w:r>
      <w:r w:rsidR="00893980">
        <w:rPr>
          <w:lang w:val="en-US"/>
        </w:rPr>
        <w:tab/>
      </w:r>
      <w:r w:rsidR="004536CE" w:rsidRPr="00E153FF">
        <w:t xml:space="preserve">Implications on </w:t>
      </w:r>
      <w:smartTag w:uri="urn:schemas-microsoft-com:office:smarttags" w:element="PlaceName">
        <w:r w:rsidR="004536CE" w:rsidRPr="00E153FF">
          <w:t>Flag</w:t>
        </w:r>
      </w:smartTag>
      <w:r w:rsidR="004536CE" w:rsidRPr="00E153FF">
        <w:t xml:space="preserve"> </w:t>
      </w:r>
      <w:smartTag w:uri="urn:schemas-microsoft-com:office:smarttags" w:element="PlaceType">
        <w:r w:rsidR="004536CE" w:rsidRPr="00E153FF">
          <w:t>State</w:t>
        </w:r>
      </w:smartTag>
      <w:r w:rsidR="004536CE" w:rsidRPr="00E153FF">
        <w:t xml:space="preserve"> and </w:t>
      </w:r>
      <w:smartTag w:uri="urn:schemas-microsoft-com:office:smarttags" w:element="place">
        <w:smartTag w:uri="urn:schemas-microsoft-com:office:smarttags" w:element="PlaceType">
          <w:r w:rsidR="004536CE" w:rsidRPr="00E153FF">
            <w:t>Port</w:t>
          </w:r>
        </w:smartTag>
        <w:r w:rsidR="004536CE" w:rsidRPr="00E153FF">
          <w:t xml:space="preserve"> </w:t>
        </w:r>
        <w:smartTag w:uri="urn:schemas-microsoft-com:office:smarttags" w:element="PlaceType">
          <w:r w:rsidR="004536CE" w:rsidRPr="00E153FF">
            <w:t>State</w:t>
          </w:r>
        </w:smartTag>
      </w:smartTag>
      <w:r w:rsidR="004536CE" w:rsidRPr="00E153FF">
        <w:t xml:space="preserve"> Control </w:t>
      </w:r>
    </w:p>
    <w:p w:rsidR="004536CE" w:rsidRPr="00C33978" w:rsidRDefault="00C33978" w:rsidP="00C33978">
      <w:pPr>
        <w:spacing w:after="130"/>
        <w:ind w:hanging="851"/>
        <w:rPr>
          <w:rFonts w:ascii="Times New Roman" w:hAnsi="Times New Roman"/>
          <w:sz w:val="22"/>
          <w:szCs w:val="22"/>
        </w:rPr>
      </w:pPr>
      <w:r w:rsidRPr="00C33978">
        <w:rPr>
          <w:rFonts w:ascii="Times New Roman" w:hAnsi="Times New Roman"/>
          <w:i/>
          <w:sz w:val="22"/>
          <w:szCs w:val="22"/>
        </w:rPr>
        <w:t>4.</w:t>
      </w:r>
      <w:r w:rsidR="00A266D3">
        <w:rPr>
          <w:rFonts w:ascii="Times New Roman" w:hAnsi="Times New Roman"/>
          <w:i/>
          <w:sz w:val="22"/>
          <w:szCs w:val="22"/>
        </w:rPr>
        <w:t>1.4.1</w:t>
      </w:r>
      <w:r w:rsidRPr="00C33978">
        <w:rPr>
          <w:rFonts w:ascii="Times New Roman" w:hAnsi="Times New Roman"/>
          <w:i/>
          <w:sz w:val="22"/>
          <w:szCs w:val="22"/>
        </w:rPr>
        <w:t xml:space="preserve"> </w:t>
      </w:r>
      <w:r w:rsidRPr="00C33978">
        <w:rPr>
          <w:rFonts w:ascii="Times New Roman" w:hAnsi="Times New Roman"/>
          <w:i/>
          <w:sz w:val="22"/>
          <w:szCs w:val="22"/>
        </w:rPr>
        <w:tab/>
      </w:r>
      <w:r w:rsidR="004536CE" w:rsidRPr="00C33978">
        <w:rPr>
          <w:rFonts w:ascii="Times New Roman" w:hAnsi="Times New Roman"/>
          <w:sz w:val="22"/>
          <w:szCs w:val="22"/>
        </w:rPr>
        <w:t xml:space="preserve">Chapter IV (Compliance and Publication of Information) of the Proposal brings about serious implications on the existing </w:t>
      </w:r>
      <w:r w:rsidR="00705649" w:rsidRPr="00C33978">
        <w:rPr>
          <w:rFonts w:ascii="Times New Roman" w:hAnsi="Times New Roman"/>
          <w:sz w:val="22"/>
          <w:szCs w:val="22"/>
        </w:rPr>
        <w:t>regimes</w:t>
      </w:r>
      <w:r w:rsidR="004536CE" w:rsidRPr="00C33978">
        <w:rPr>
          <w:rFonts w:ascii="Times New Roman" w:hAnsi="Times New Roman"/>
          <w:sz w:val="22"/>
          <w:szCs w:val="22"/>
        </w:rPr>
        <w:t xml:space="preserve"> of flag State and port State Control, which would result in significant consequences on the both the shipping indust</w:t>
      </w:r>
      <w:r w:rsidR="00CC78AC" w:rsidRPr="00C33978">
        <w:rPr>
          <w:rFonts w:ascii="Times New Roman" w:hAnsi="Times New Roman"/>
          <w:sz w:val="22"/>
          <w:szCs w:val="22"/>
        </w:rPr>
        <w:t xml:space="preserve">ry and maritime </w:t>
      </w:r>
      <w:r w:rsidR="00A266D3">
        <w:rPr>
          <w:rFonts w:ascii="Times New Roman" w:hAnsi="Times New Roman"/>
          <w:sz w:val="22"/>
          <w:szCs w:val="22"/>
        </w:rPr>
        <w:t>a</w:t>
      </w:r>
      <w:r w:rsidR="00CC78AC" w:rsidRPr="00C33978">
        <w:rPr>
          <w:rFonts w:ascii="Times New Roman" w:hAnsi="Times New Roman"/>
          <w:sz w:val="22"/>
          <w:szCs w:val="22"/>
        </w:rPr>
        <w:t>dministrations</w:t>
      </w:r>
      <w:r w:rsidR="004536CE" w:rsidRPr="00C33978">
        <w:rPr>
          <w:rFonts w:ascii="Times New Roman" w:hAnsi="Times New Roman"/>
          <w:sz w:val="22"/>
          <w:szCs w:val="22"/>
        </w:rPr>
        <w:t xml:space="preserve">. </w:t>
      </w:r>
    </w:p>
    <w:p w:rsidR="004536CE" w:rsidRPr="00C33978" w:rsidRDefault="00AC612E" w:rsidP="00C33978">
      <w:pPr>
        <w:spacing w:after="130"/>
        <w:ind w:hanging="851"/>
        <w:rPr>
          <w:rFonts w:ascii="Times New Roman" w:hAnsi="Times New Roman"/>
          <w:sz w:val="22"/>
          <w:szCs w:val="22"/>
        </w:rPr>
      </w:pPr>
      <w:r>
        <w:rPr>
          <w:rFonts w:ascii="Times New Roman" w:hAnsi="Times New Roman"/>
          <w:i/>
          <w:sz w:val="22"/>
          <w:szCs w:val="22"/>
        </w:rPr>
        <w:t>4.</w:t>
      </w:r>
      <w:r w:rsidR="00A266D3">
        <w:rPr>
          <w:rFonts w:ascii="Times New Roman" w:hAnsi="Times New Roman"/>
          <w:i/>
          <w:sz w:val="22"/>
          <w:szCs w:val="22"/>
        </w:rPr>
        <w:t>1.4.2</w:t>
      </w:r>
      <w:r w:rsidR="00C33978" w:rsidRPr="00C33978">
        <w:rPr>
          <w:rFonts w:ascii="Times New Roman" w:hAnsi="Times New Roman"/>
          <w:i/>
          <w:sz w:val="22"/>
          <w:szCs w:val="22"/>
        </w:rPr>
        <w:t xml:space="preserve"> </w:t>
      </w:r>
      <w:r w:rsidR="00C33978" w:rsidRPr="00C33978">
        <w:rPr>
          <w:rFonts w:ascii="Times New Roman" w:hAnsi="Times New Roman"/>
          <w:i/>
          <w:sz w:val="22"/>
          <w:szCs w:val="22"/>
        </w:rPr>
        <w:tab/>
      </w:r>
      <w:r w:rsidR="004536CE" w:rsidRPr="00C33978">
        <w:rPr>
          <w:rFonts w:ascii="Times New Roman" w:hAnsi="Times New Roman"/>
          <w:sz w:val="22"/>
          <w:szCs w:val="22"/>
          <w:lang w:val="en-US"/>
        </w:rPr>
        <w:t xml:space="preserve">There are also concerns concerning the legal basis given that a Regulation with an environment legal basis (Article 192(1) TFEU) would have no legal basis for its enforcement and would rely for such enforcement on legislation having a transport legal basis (Article 100(2) TFEU) – the Flag State and Port State Control Directives. Chapter IV of the MRV </w:t>
      </w:r>
      <w:r w:rsidR="00A266D3">
        <w:rPr>
          <w:rFonts w:ascii="Times New Roman" w:hAnsi="Times New Roman"/>
          <w:sz w:val="22"/>
          <w:szCs w:val="22"/>
          <w:lang w:val="en-US"/>
        </w:rPr>
        <w:t>P</w:t>
      </w:r>
      <w:r w:rsidR="004536CE" w:rsidRPr="00C33978">
        <w:rPr>
          <w:rFonts w:ascii="Times New Roman" w:hAnsi="Times New Roman"/>
          <w:sz w:val="22"/>
          <w:szCs w:val="22"/>
          <w:lang w:val="en-US"/>
        </w:rPr>
        <w:t xml:space="preserve">roposal is essentially making provisions for matters which are regulated by the </w:t>
      </w:r>
      <w:smartTag w:uri="urn:schemas-microsoft-com:office:smarttags" w:element="place">
        <w:smartTag w:uri="urn:schemas-microsoft-com:office:smarttags" w:element="PlaceName">
          <w:r w:rsidR="004536CE" w:rsidRPr="00C33978">
            <w:rPr>
              <w:rFonts w:ascii="Times New Roman" w:hAnsi="Times New Roman"/>
              <w:sz w:val="22"/>
              <w:szCs w:val="22"/>
              <w:lang w:val="en-US"/>
            </w:rPr>
            <w:t>Flag</w:t>
          </w:r>
        </w:smartTag>
        <w:r w:rsidR="004536CE" w:rsidRPr="00C33978">
          <w:rPr>
            <w:rFonts w:ascii="Times New Roman" w:hAnsi="Times New Roman"/>
            <w:sz w:val="22"/>
            <w:szCs w:val="22"/>
            <w:lang w:val="en-US"/>
          </w:rPr>
          <w:t xml:space="preserve"> </w:t>
        </w:r>
        <w:smartTag w:uri="urn:schemas-microsoft-com:office:smarttags" w:element="PlaceType">
          <w:r w:rsidR="004536CE" w:rsidRPr="00C33978">
            <w:rPr>
              <w:rFonts w:ascii="Times New Roman" w:hAnsi="Times New Roman"/>
              <w:sz w:val="22"/>
              <w:szCs w:val="22"/>
              <w:lang w:val="en-US"/>
            </w:rPr>
            <w:t>State</w:t>
          </w:r>
        </w:smartTag>
      </w:smartTag>
      <w:r w:rsidR="004536CE" w:rsidRPr="00C33978">
        <w:rPr>
          <w:rFonts w:ascii="Times New Roman" w:hAnsi="Times New Roman"/>
          <w:sz w:val="22"/>
          <w:szCs w:val="22"/>
          <w:lang w:val="en-US"/>
        </w:rPr>
        <w:t xml:space="preserve"> and Port State Control Directives. Any changes to matters regulated by such Directives cannot be made through the MRV since this proposal has no legal basis to amend transport legislation. </w:t>
      </w:r>
      <w:r w:rsidR="004536CE" w:rsidRPr="00C33978">
        <w:rPr>
          <w:rFonts w:ascii="Times New Roman" w:hAnsi="Times New Roman"/>
          <w:sz w:val="22"/>
          <w:szCs w:val="22"/>
        </w:rPr>
        <w:t xml:space="preserve">The above indicates a serious flaw in the legal basis of the MRV </w:t>
      </w:r>
      <w:r w:rsidR="00A266D3">
        <w:rPr>
          <w:rFonts w:ascii="Times New Roman" w:hAnsi="Times New Roman"/>
          <w:sz w:val="22"/>
          <w:szCs w:val="22"/>
        </w:rPr>
        <w:t>P</w:t>
      </w:r>
      <w:r w:rsidR="004536CE" w:rsidRPr="00C33978">
        <w:rPr>
          <w:rFonts w:ascii="Times New Roman" w:hAnsi="Times New Roman"/>
          <w:sz w:val="22"/>
          <w:szCs w:val="22"/>
        </w:rPr>
        <w:t xml:space="preserve">roposal as an environment legal basis is being used to attempt to bring about significant changes to the framework of EU maritime legislation. </w:t>
      </w:r>
    </w:p>
    <w:p w:rsidR="008C1816" w:rsidRPr="008C1816" w:rsidRDefault="00A1276A" w:rsidP="00AC612E">
      <w:pPr>
        <w:pStyle w:val="Heading4"/>
      </w:pPr>
      <w:r w:rsidRPr="000B518F">
        <w:t>4</w:t>
      </w:r>
      <w:r w:rsidR="002F756D" w:rsidRPr="000B518F">
        <w:t>.</w:t>
      </w:r>
      <w:r w:rsidR="00A266D3">
        <w:t>2</w:t>
      </w:r>
      <w:r w:rsidR="002F756D" w:rsidRPr="008C1816">
        <w:tab/>
        <w:t>Economic and financial repercussions of the dossier</w:t>
      </w:r>
    </w:p>
    <w:p w:rsidR="00AC612E" w:rsidRPr="008608BF" w:rsidRDefault="00C33978" w:rsidP="00AC612E">
      <w:pPr>
        <w:spacing w:after="130"/>
        <w:ind w:hanging="851"/>
        <w:rPr>
          <w:rFonts w:ascii="Times New Roman" w:hAnsi="Times New Roman"/>
          <w:sz w:val="22"/>
          <w:szCs w:val="22"/>
        </w:rPr>
      </w:pPr>
      <w:r w:rsidRPr="00AC612E">
        <w:rPr>
          <w:rFonts w:ascii="Times New Roman" w:hAnsi="Times New Roman"/>
          <w:i/>
          <w:sz w:val="22"/>
          <w:szCs w:val="22"/>
        </w:rPr>
        <w:t>4.</w:t>
      </w:r>
      <w:r w:rsidR="00A266D3">
        <w:rPr>
          <w:rFonts w:ascii="Times New Roman" w:hAnsi="Times New Roman"/>
          <w:i/>
          <w:sz w:val="22"/>
          <w:szCs w:val="22"/>
        </w:rPr>
        <w:t>2</w:t>
      </w:r>
      <w:r w:rsidR="000B518F" w:rsidRPr="00AC612E">
        <w:rPr>
          <w:rFonts w:ascii="Times New Roman" w:hAnsi="Times New Roman"/>
          <w:i/>
          <w:sz w:val="22"/>
          <w:szCs w:val="22"/>
        </w:rPr>
        <w:t>.1</w:t>
      </w:r>
      <w:r w:rsidR="000B518F">
        <w:rPr>
          <w:i/>
        </w:rPr>
        <w:tab/>
      </w:r>
      <w:r w:rsidR="00AC612E" w:rsidRPr="008608BF">
        <w:rPr>
          <w:rFonts w:ascii="Times New Roman" w:hAnsi="Times New Roman"/>
          <w:sz w:val="22"/>
          <w:szCs w:val="22"/>
        </w:rPr>
        <w:t>The Proposal in its current form is regarded as having disproportionate gain, attainable from an environmental and climate change perspective, with regard to the economic hindrance as a result. Application of the Regulation would invoke increased costs for shipping companies in order to monitor their journeys. Following this process</w:t>
      </w:r>
      <w:r w:rsidR="00AC612E">
        <w:rPr>
          <w:rFonts w:ascii="Times New Roman" w:hAnsi="Times New Roman"/>
          <w:sz w:val="22"/>
          <w:szCs w:val="22"/>
        </w:rPr>
        <w:t>,</w:t>
      </w:r>
      <w:r w:rsidR="00AC612E" w:rsidRPr="008608BF">
        <w:rPr>
          <w:rFonts w:ascii="Times New Roman" w:hAnsi="Times New Roman"/>
          <w:sz w:val="22"/>
          <w:szCs w:val="22"/>
        </w:rPr>
        <w:t xml:space="preserve"> verification must also take place, increasing associated time, effort and financial costs. The consequential environmental gain by comparison is not yet justified as, in the view of </w:t>
      </w:r>
      <w:r w:rsidR="00AC612E">
        <w:rPr>
          <w:rFonts w:ascii="Times New Roman" w:hAnsi="Times New Roman"/>
          <w:sz w:val="22"/>
          <w:szCs w:val="22"/>
        </w:rPr>
        <w:t>the Government</w:t>
      </w:r>
      <w:r w:rsidR="00AC612E" w:rsidRPr="008608BF">
        <w:rPr>
          <w:rFonts w:ascii="Times New Roman" w:hAnsi="Times New Roman"/>
          <w:sz w:val="22"/>
          <w:szCs w:val="22"/>
        </w:rPr>
        <w:t xml:space="preserve">, the statement by the Commission asserting that the resulting reduction of emissions is estimated to be 2% does not seem reliable due to the absence of exhaustive data. </w:t>
      </w:r>
    </w:p>
    <w:p w:rsidR="00AC612E" w:rsidRPr="00C33978" w:rsidRDefault="00AC612E" w:rsidP="00AC612E">
      <w:pPr>
        <w:spacing w:after="130"/>
        <w:ind w:hanging="851"/>
        <w:rPr>
          <w:rFonts w:ascii="Times New Roman" w:hAnsi="Times New Roman"/>
          <w:iCs/>
          <w:sz w:val="22"/>
          <w:szCs w:val="22"/>
          <w:lang w:val="en-US"/>
        </w:rPr>
      </w:pPr>
      <w:r>
        <w:rPr>
          <w:rFonts w:ascii="Times New Roman" w:hAnsi="Times New Roman"/>
          <w:i/>
          <w:sz w:val="22"/>
          <w:szCs w:val="22"/>
        </w:rPr>
        <w:t>4.</w:t>
      </w:r>
      <w:r w:rsidR="00A266D3">
        <w:rPr>
          <w:rFonts w:ascii="Times New Roman" w:hAnsi="Times New Roman"/>
          <w:i/>
          <w:sz w:val="22"/>
          <w:szCs w:val="22"/>
        </w:rPr>
        <w:t>2</w:t>
      </w:r>
      <w:r w:rsidRPr="00C33978">
        <w:rPr>
          <w:rFonts w:ascii="Times New Roman" w:hAnsi="Times New Roman"/>
          <w:i/>
          <w:sz w:val="22"/>
          <w:szCs w:val="22"/>
        </w:rPr>
        <w:t xml:space="preserve">.2 </w:t>
      </w:r>
      <w:r w:rsidRPr="00C33978">
        <w:rPr>
          <w:rFonts w:ascii="Times New Roman" w:hAnsi="Times New Roman"/>
          <w:i/>
          <w:sz w:val="22"/>
          <w:szCs w:val="22"/>
        </w:rPr>
        <w:tab/>
      </w:r>
      <w:r>
        <w:rPr>
          <w:rFonts w:ascii="Times New Roman" w:hAnsi="Times New Roman"/>
          <w:iCs/>
          <w:sz w:val="22"/>
          <w:szCs w:val="22"/>
          <w:lang w:val="en-US"/>
        </w:rPr>
        <w:t>The Government</w:t>
      </w:r>
      <w:r w:rsidRPr="00C33978">
        <w:rPr>
          <w:rFonts w:ascii="Times New Roman" w:hAnsi="Times New Roman"/>
          <w:iCs/>
          <w:sz w:val="22"/>
          <w:szCs w:val="22"/>
          <w:lang w:val="en-US"/>
        </w:rPr>
        <w:t xml:space="preserve"> notes that the strategic geographical position of </w:t>
      </w:r>
      <w:smartTag w:uri="urn:schemas-microsoft-com:office:smarttags" w:element="country-region">
        <w:smartTag w:uri="urn:schemas-microsoft-com:office:smarttags" w:element="place">
          <w:r w:rsidRPr="00C33978">
            <w:rPr>
              <w:rFonts w:ascii="Times New Roman" w:hAnsi="Times New Roman"/>
              <w:iCs/>
              <w:sz w:val="22"/>
              <w:szCs w:val="22"/>
              <w:lang w:val="en-US"/>
            </w:rPr>
            <w:t>Malta</w:t>
          </w:r>
        </w:smartTag>
      </w:smartTag>
      <w:r w:rsidRPr="00C33978">
        <w:rPr>
          <w:rFonts w:ascii="Times New Roman" w:hAnsi="Times New Roman"/>
          <w:iCs/>
          <w:sz w:val="22"/>
          <w:szCs w:val="22"/>
          <w:lang w:val="en-US"/>
        </w:rPr>
        <w:t xml:space="preserve"> will only serve to augment the negative impact of such a </w:t>
      </w:r>
      <w:r w:rsidR="00A266D3">
        <w:rPr>
          <w:rFonts w:ascii="Times New Roman" w:hAnsi="Times New Roman"/>
          <w:iCs/>
          <w:sz w:val="22"/>
          <w:szCs w:val="22"/>
          <w:lang w:val="en-US"/>
        </w:rPr>
        <w:t>P</w:t>
      </w:r>
      <w:r w:rsidRPr="00C33978">
        <w:rPr>
          <w:rFonts w:ascii="Times New Roman" w:hAnsi="Times New Roman"/>
          <w:iCs/>
          <w:sz w:val="22"/>
          <w:szCs w:val="22"/>
          <w:lang w:val="en-US"/>
        </w:rPr>
        <w:t xml:space="preserve">roposal on this maritime nation, whose economy is also heavily dependent on maritime activities. In other words ships that would usually call at a Maltese port would choose to call at a neighboring port south of </w:t>
      </w:r>
      <w:smartTag w:uri="urn:schemas-microsoft-com:office:smarttags" w:element="country-region">
        <w:smartTag w:uri="urn:schemas-microsoft-com:office:smarttags" w:element="place">
          <w:r w:rsidRPr="00C33978">
            <w:rPr>
              <w:rFonts w:ascii="Times New Roman" w:hAnsi="Times New Roman"/>
              <w:iCs/>
              <w:sz w:val="22"/>
              <w:szCs w:val="22"/>
              <w:lang w:val="en-US"/>
            </w:rPr>
            <w:t>Malta</w:t>
          </w:r>
        </w:smartTag>
      </w:smartTag>
      <w:r w:rsidRPr="00C33978">
        <w:rPr>
          <w:rFonts w:ascii="Times New Roman" w:hAnsi="Times New Roman"/>
          <w:iCs/>
          <w:sz w:val="22"/>
          <w:szCs w:val="22"/>
          <w:lang w:val="en-US"/>
        </w:rPr>
        <w:t xml:space="preserve"> were this instrument does not pose a problem. This will severely hamper </w:t>
      </w:r>
      <w:smartTag w:uri="urn:schemas-microsoft-com:office:smarttags" w:element="country-region">
        <w:smartTag w:uri="urn:schemas-microsoft-com:office:smarttags" w:element="place">
          <w:r w:rsidRPr="00C33978">
            <w:rPr>
              <w:rFonts w:ascii="Times New Roman" w:hAnsi="Times New Roman"/>
              <w:iCs/>
              <w:sz w:val="22"/>
              <w:szCs w:val="22"/>
              <w:lang w:val="en-US"/>
            </w:rPr>
            <w:t>Malta</w:t>
          </w:r>
        </w:smartTag>
      </w:smartTag>
      <w:r w:rsidRPr="00C33978">
        <w:rPr>
          <w:rFonts w:ascii="Times New Roman" w:hAnsi="Times New Roman"/>
          <w:iCs/>
          <w:sz w:val="22"/>
          <w:szCs w:val="22"/>
          <w:lang w:val="en-US"/>
        </w:rPr>
        <w:t>’s economy which is which is largely dependent on shipping for its survivability which is largely connected with the rest of the world. Additionally such a port shift will further augment carbon leakage, a phenomenon which is common to regional instruments relating to emissions.</w:t>
      </w:r>
    </w:p>
    <w:p w:rsidR="00AC612E" w:rsidRPr="00C33978" w:rsidRDefault="00AC612E" w:rsidP="00AC612E">
      <w:pPr>
        <w:spacing w:after="130"/>
        <w:ind w:hanging="851"/>
        <w:rPr>
          <w:rFonts w:ascii="Times New Roman" w:hAnsi="Times New Roman"/>
          <w:iCs/>
          <w:sz w:val="22"/>
          <w:szCs w:val="22"/>
          <w:lang w:val="en-US"/>
        </w:rPr>
      </w:pPr>
      <w:r>
        <w:rPr>
          <w:rFonts w:ascii="Times New Roman" w:hAnsi="Times New Roman"/>
          <w:i/>
          <w:iCs/>
          <w:sz w:val="22"/>
          <w:szCs w:val="22"/>
          <w:lang w:val="en-US"/>
        </w:rPr>
        <w:t>4.</w:t>
      </w:r>
      <w:r w:rsidR="00A266D3">
        <w:rPr>
          <w:rFonts w:ascii="Times New Roman" w:hAnsi="Times New Roman"/>
          <w:i/>
          <w:iCs/>
          <w:sz w:val="22"/>
          <w:szCs w:val="22"/>
          <w:lang w:val="en-US"/>
        </w:rPr>
        <w:t>2</w:t>
      </w:r>
      <w:r w:rsidRPr="00C33978">
        <w:rPr>
          <w:rFonts w:ascii="Times New Roman" w:hAnsi="Times New Roman"/>
          <w:i/>
          <w:iCs/>
          <w:sz w:val="22"/>
          <w:szCs w:val="22"/>
          <w:lang w:val="en-US"/>
        </w:rPr>
        <w:t xml:space="preserve">.3 </w:t>
      </w:r>
      <w:r w:rsidRPr="00C33978">
        <w:rPr>
          <w:rFonts w:ascii="Times New Roman" w:hAnsi="Times New Roman"/>
          <w:i/>
          <w:iCs/>
          <w:sz w:val="22"/>
          <w:szCs w:val="22"/>
          <w:lang w:val="en-US"/>
        </w:rPr>
        <w:tab/>
      </w:r>
      <w:r w:rsidRPr="00C33978">
        <w:rPr>
          <w:rFonts w:ascii="Times New Roman" w:hAnsi="Times New Roman"/>
          <w:sz w:val="22"/>
          <w:szCs w:val="22"/>
          <w:lang w:val="en-US"/>
        </w:rPr>
        <w:t xml:space="preserve">The maritime sector has a huge economic and social impact on </w:t>
      </w:r>
      <w:smartTag w:uri="urn:schemas-microsoft-com:office:smarttags" w:element="country-region">
        <w:smartTag w:uri="urn:schemas-microsoft-com:office:smarttags" w:element="place">
          <w:r w:rsidRPr="00C33978">
            <w:rPr>
              <w:rFonts w:ascii="Times New Roman" w:hAnsi="Times New Roman"/>
              <w:sz w:val="22"/>
              <w:szCs w:val="22"/>
              <w:lang w:val="en-US"/>
            </w:rPr>
            <w:t>Malta</w:t>
          </w:r>
        </w:smartTag>
      </w:smartTag>
      <w:r w:rsidRPr="00C33978">
        <w:rPr>
          <w:rFonts w:ascii="Times New Roman" w:hAnsi="Times New Roman"/>
          <w:sz w:val="22"/>
          <w:szCs w:val="22"/>
          <w:lang w:val="en-US"/>
        </w:rPr>
        <w:t xml:space="preserve">. </w:t>
      </w:r>
      <w:r>
        <w:rPr>
          <w:rFonts w:ascii="Times New Roman" w:hAnsi="Times New Roman"/>
          <w:sz w:val="22"/>
          <w:szCs w:val="22"/>
          <w:lang w:val="en-US"/>
        </w:rPr>
        <w:t>The Governmnet</w:t>
      </w:r>
      <w:r w:rsidRPr="00C33978">
        <w:rPr>
          <w:rFonts w:ascii="Times New Roman" w:hAnsi="Times New Roman"/>
          <w:sz w:val="22"/>
          <w:szCs w:val="22"/>
          <w:lang w:val="en-US"/>
        </w:rPr>
        <w:t xml:space="preserve"> therefore believes that a unilateral regional instrument risks placing EU Member States such as </w:t>
      </w:r>
      <w:smartTag w:uri="urn:schemas-microsoft-com:office:smarttags" w:element="country-region">
        <w:smartTag w:uri="urn:schemas-microsoft-com:office:smarttags" w:element="place">
          <w:r w:rsidRPr="00C33978">
            <w:rPr>
              <w:rFonts w:ascii="Times New Roman" w:hAnsi="Times New Roman"/>
              <w:sz w:val="22"/>
              <w:szCs w:val="22"/>
              <w:lang w:val="en-US"/>
            </w:rPr>
            <w:t>Malta</w:t>
          </w:r>
        </w:smartTag>
      </w:smartTag>
      <w:r w:rsidRPr="00C33978">
        <w:rPr>
          <w:rFonts w:ascii="Times New Roman" w:hAnsi="Times New Roman"/>
          <w:sz w:val="22"/>
          <w:szCs w:val="22"/>
          <w:lang w:val="en-US"/>
        </w:rPr>
        <w:t xml:space="preserve"> at a severe competitive disadvantage. This would be devastating for the local economy due to the impacts on supply chains and increasing costs for local consumers, without reaching the environmental objectives of such instrument.   </w:t>
      </w:r>
      <w:smartTag w:uri="urn:schemas-microsoft-com:office:smarttags" w:element="country-region">
        <w:smartTag w:uri="urn:schemas-microsoft-com:office:smarttags" w:element="place">
          <w:r w:rsidRPr="00A266D3">
            <w:rPr>
              <w:rFonts w:ascii="Times New Roman" w:hAnsi="Times New Roman"/>
              <w:sz w:val="22"/>
              <w:szCs w:val="22"/>
              <w:lang w:val="en-US"/>
            </w:rPr>
            <w:t>Malta</w:t>
          </w:r>
        </w:smartTag>
      </w:smartTag>
      <w:r w:rsidRPr="00A266D3">
        <w:rPr>
          <w:rFonts w:ascii="Times New Roman" w:hAnsi="Times New Roman"/>
          <w:sz w:val="22"/>
          <w:szCs w:val="22"/>
          <w:lang w:val="en-US"/>
        </w:rPr>
        <w:t xml:space="preserve"> depends to a very high extent on shipping for transport of goods. Ships currently using the Malta Freeport as a hub also service the small, local economy. Tools which seek to reduce emission with reference to ports of call would induce shipping lines currently using the </w:t>
      </w:r>
      <w:smartTag w:uri="urn:schemas-microsoft-com:office:smarttags" w:element="country-region">
        <w:smartTag w:uri="urn:schemas-microsoft-com:office:smarttags" w:element="place">
          <w:r w:rsidRPr="00A266D3">
            <w:rPr>
              <w:rFonts w:ascii="Times New Roman" w:hAnsi="Times New Roman"/>
              <w:sz w:val="22"/>
              <w:szCs w:val="22"/>
              <w:lang w:val="en-US"/>
            </w:rPr>
            <w:t>Malta</w:t>
          </w:r>
        </w:smartTag>
      </w:smartTag>
      <w:r w:rsidRPr="00A266D3">
        <w:rPr>
          <w:rFonts w:ascii="Times New Roman" w:hAnsi="Times New Roman"/>
          <w:sz w:val="22"/>
          <w:szCs w:val="22"/>
          <w:lang w:val="en-US"/>
        </w:rPr>
        <w:t xml:space="preserve"> free port to move their operations to neighbouring non EU countries.</w:t>
      </w:r>
    </w:p>
    <w:p w:rsidR="00AC612E" w:rsidRPr="00C33978" w:rsidRDefault="00AC612E" w:rsidP="00AC612E">
      <w:pPr>
        <w:spacing w:after="130"/>
        <w:ind w:hanging="851"/>
        <w:rPr>
          <w:rFonts w:ascii="Times New Roman" w:hAnsi="Times New Roman"/>
          <w:iCs/>
          <w:sz w:val="22"/>
          <w:szCs w:val="22"/>
          <w:lang w:val="en-US"/>
        </w:rPr>
      </w:pPr>
      <w:r>
        <w:rPr>
          <w:rFonts w:ascii="Times New Roman" w:hAnsi="Times New Roman"/>
          <w:i/>
          <w:iCs/>
          <w:sz w:val="22"/>
          <w:szCs w:val="22"/>
          <w:lang w:val="en-US"/>
        </w:rPr>
        <w:t>4.</w:t>
      </w:r>
      <w:r w:rsidR="00A266D3">
        <w:rPr>
          <w:rFonts w:ascii="Times New Roman" w:hAnsi="Times New Roman"/>
          <w:i/>
          <w:iCs/>
          <w:sz w:val="22"/>
          <w:szCs w:val="22"/>
          <w:lang w:val="en-US"/>
        </w:rPr>
        <w:t>2</w:t>
      </w:r>
      <w:r w:rsidRPr="00C33978">
        <w:rPr>
          <w:rFonts w:ascii="Times New Roman" w:hAnsi="Times New Roman"/>
          <w:i/>
          <w:iCs/>
          <w:sz w:val="22"/>
          <w:szCs w:val="22"/>
          <w:lang w:val="en-US"/>
        </w:rPr>
        <w:t xml:space="preserve">.4 </w:t>
      </w:r>
      <w:r w:rsidRPr="00C33978">
        <w:rPr>
          <w:rFonts w:ascii="Times New Roman" w:hAnsi="Times New Roman"/>
          <w:i/>
          <w:iCs/>
          <w:sz w:val="22"/>
          <w:szCs w:val="22"/>
          <w:lang w:val="en-US"/>
        </w:rPr>
        <w:tab/>
      </w:r>
      <w:r w:rsidRPr="00C33978">
        <w:rPr>
          <w:rFonts w:ascii="Times New Roman" w:hAnsi="Times New Roman"/>
          <w:iCs/>
          <w:sz w:val="22"/>
          <w:szCs w:val="22"/>
          <w:lang w:val="en-US"/>
        </w:rPr>
        <w:t xml:space="preserve">More specifically </w:t>
      </w:r>
      <w:r>
        <w:rPr>
          <w:rFonts w:ascii="Times New Roman" w:hAnsi="Times New Roman"/>
          <w:iCs/>
          <w:sz w:val="22"/>
          <w:szCs w:val="22"/>
          <w:lang w:val="en-US"/>
        </w:rPr>
        <w:t>the Government</w:t>
      </w:r>
      <w:r w:rsidRPr="00C33978">
        <w:rPr>
          <w:rFonts w:ascii="Times New Roman" w:hAnsi="Times New Roman"/>
          <w:iCs/>
          <w:sz w:val="22"/>
          <w:szCs w:val="22"/>
          <w:lang w:val="en-US"/>
        </w:rPr>
        <w:t xml:space="preserve"> has concerns with regard to the additional administrative burdens on the </w:t>
      </w:r>
      <w:smartTag w:uri="urn:schemas-microsoft-com:office:smarttags" w:element="PlaceName">
        <w:r w:rsidRPr="00C33978">
          <w:rPr>
            <w:rFonts w:ascii="Times New Roman" w:hAnsi="Times New Roman"/>
            <w:iCs/>
            <w:sz w:val="22"/>
            <w:szCs w:val="22"/>
            <w:lang w:val="en-US"/>
          </w:rPr>
          <w:t>Member</w:t>
        </w:r>
      </w:smartTag>
      <w:r w:rsidRPr="00C33978">
        <w:rPr>
          <w:rFonts w:ascii="Times New Roman" w:hAnsi="Times New Roman"/>
          <w:iCs/>
          <w:sz w:val="22"/>
          <w:szCs w:val="22"/>
          <w:lang w:val="en-US"/>
        </w:rPr>
        <w:t xml:space="preserve"> </w:t>
      </w:r>
      <w:smartTag w:uri="urn:schemas-microsoft-com:office:smarttags" w:element="PlaceType">
        <w:r>
          <w:rPr>
            <w:rFonts w:ascii="Times New Roman" w:hAnsi="Times New Roman"/>
            <w:iCs/>
            <w:sz w:val="22"/>
            <w:szCs w:val="22"/>
            <w:lang w:val="en-US"/>
          </w:rPr>
          <w:t>S</w:t>
        </w:r>
        <w:r w:rsidRPr="00C33978">
          <w:rPr>
            <w:rFonts w:ascii="Times New Roman" w:hAnsi="Times New Roman"/>
            <w:iCs/>
            <w:sz w:val="22"/>
            <w:szCs w:val="22"/>
            <w:lang w:val="en-US"/>
          </w:rPr>
          <w:t>tate</w:t>
        </w:r>
      </w:smartTag>
      <w:r w:rsidRPr="00C33978">
        <w:rPr>
          <w:rFonts w:ascii="Times New Roman" w:hAnsi="Times New Roman"/>
          <w:iCs/>
          <w:sz w:val="22"/>
          <w:szCs w:val="22"/>
          <w:lang w:val="en-US"/>
        </w:rPr>
        <w:t xml:space="preserve">, </w:t>
      </w:r>
      <w:r>
        <w:rPr>
          <w:rFonts w:ascii="Times New Roman" w:hAnsi="Times New Roman"/>
          <w:iCs/>
          <w:sz w:val="22"/>
          <w:szCs w:val="22"/>
          <w:lang w:val="en-US"/>
        </w:rPr>
        <w:t xml:space="preserve">the </w:t>
      </w:r>
      <w:smartTag w:uri="urn:schemas-microsoft-com:office:smarttags" w:element="place">
        <w:smartTag w:uri="urn:schemas-microsoft-com:office:smarttags" w:element="PlaceType">
          <w:r w:rsidRPr="00C33978">
            <w:rPr>
              <w:rFonts w:ascii="Times New Roman" w:hAnsi="Times New Roman"/>
              <w:iCs/>
              <w:sz w:val="22"/>
              <w:szCs w:val="22"/>
              <w:lang w:val="en-US"/>
            </w:rPr>
            <w:t>Port</w:t>
          </w:r>
        </w:smartTag>
        <w:r w:rsidRPr="00C33978">
          <w:rPr>
            <w:rFonts w:ascii="Times New Roman" w:hAnsi="Times New Roman"/>
            <w:iCs/>
            <w:sz w:val="22"/>
            <w:szCs w:val="22"/>
            <w:lang w:val="en-US"/>
          </w:rPr>
          <w:t xml:space="preserve"> </w:t>
        </w:r>
        <w:smartTag w:uri="urn:schemas-microsoft-com:office:smarttags" w:element="PlaceType">
          <w:r w:rsidRPr="00C33978">
            <w:rPr>
              <w:rFonts w:ascii="Times New Roman" w:hAnsi="Times New Roman"/>
              <w:iCs/>
              <w:sz w:val="22"/>
              <w:szCs w:val="22"/>
              <w:lang w:val="en-US"/>
            </w:rPr>
            <w:t>State</w:t>
          </w:r>
        </w:smartTag>
      </w:smartTag>
      <w:r w:rsidRPr="00C33978">
        <w:rPr>
          <w:rFonts w:ascii="Times New Roman" w:hAnsi="Times New Roman"/>
          <w:iCs/>
          <w:sz w:val="22"/>
          <w:szCs w:val="22"/>
          <w:lang w:val="en-US"/>
        </w:rPr>
        <w:t xml:space="preserve"> authorities, the flag state and the companies situated within the EU. Such financial and resource management burdens are yet to be quantified since there is no reference in the </w:t>
      </w:r>
      <w:r>
        <w:rPr>
          <w:rFonts w:ascii="Times New Roman" w:hAnsi="Times New Roman"/>
          <w:iCs/>
          <w:sz w:val="22"/>
          <w:szCs w:val="22"/>
          <w:lang w:val="en-US"/>
        </w:rPr>
        <w:t>R</w:t>
      </w:r>
      <w:r w:rsidRPr="00C33978">
        <w:rPr>
          <w:rFonts w:ascii="Times New Roman" w:hAnsi="Times New Roman"/>
          <w:iCs/>
          <w:sz w:val="22"/>
          <w:szCs w:val="22"/>
          <w:lang w:val="en-US"/>
        </w:rPr>
        <w:t xml:space="preserve">egulation of any funding with respect to the establishment of the necessary infrastructure in the member states to be able to comply with said requirements. </w:t>
      </w:r>
      <w:r>
        <w:rPr>
          <w:rFonts w:ascii="Times New Roman" w:hAnsi="Times New Roman"/>
          <w:iCs/>
          <w:sz w:val="22"/>
          <w:szCs w:val="22"/>
          <w:lang w:val="en-US"/>
        </w:rPr>
        <w:t>The Government</w:t>
      </w:r>
      <w:r w:rsidRPr="00C33978">
        <w:rPr>
          <w:rFonts w:ascii="Times New Roman" w:hAnsi="Times New Roman"/>
          <w:iCs/>
          <w:sz w:val="22"/>
          <w:szCs w:val="22"/>
          <w:lang w:val="en-US"/>
        </w:rPr>
        <w:t xml:space="preserve"> do</w:t>
      </w:r>
      <w:r>
        <w:rPr>
          <w:rFonts w:ascii="Times New Roman" w:hAnsi="Times New Roman"/>
          <w:iCs/>
          <w:sz w:val="22"/>
          <w:szCs w:val="22"/>
          <w:lang w:val="en-US"/>
        </w:rPr>
        <w:t>es</w:t>
      </w:r>
      <w:r w:rsidRPr="00C33978">
        <w:rPr>
          <w:rFonts w:ascii="Times New Roman" w:hAnsi="Times New Roman"/>
          <w:iCs/>
          <w:sz w:val="22"/>
          <w:szCs w:val="22"/>
          <w:lang w:val="en-US"/>
        </w:rPr>
        <w:t xml:space="preserve"> not envisage the efficacy of this </w:t>
      </w:r>
      <w:r>
        <w:rPr>
          <w:rFonts w:ascii="Times New Roman" w:hAnsi="Times New Roman"/>
          <w:iCs/>
          <w:sz w:val="22"/>
          <w:szCs w:val="22"/>
          <w:lang w:val="en-US"/>
        </w:rPr>
        <w:t>R</w:t>
      </w:r>
      <w:r w:rsidRPr="00C33978">
        <w:rPr>
          <w:rFonts w:ascii="Times New Roman" w:hAnsi="Times New Roman"/>
          <w:iCs/>
          <w:sz w:val="22"/>
          <w:szCs w:val="22"/>
          <w:lang w:val="en-US"/>
        </w:rPr>
        <w:t>egulation with respect to companies situated outside the EU.  </w:t>
      </w:r>
    </w:p>
    <w:p w:rsidR="002F756D" w:rsidRPr="008C1816" w:rsidRDefault="00A1276A" w:rsidP="00AC612E">
      <w:pPr>
        <w:pStyle w:val="Heading3"/>
      </w:pPr>
      <w:r>
        <w:t>5</w:t>
      </w:r>
      <w:r w:rsidR="008C1816">
        <w:t xml:space="preserve"> </w:t>
      </w:r>
      <w:r w:rsidR="00351C87">
        <w:t xml:space="preserve"> </w:t>
      </w:r>
      <w:r w:rsidR="00351C87">
        <w:tab/>
      </w:r>
      <w:r w:rsidR="002F756D" w:rsidRPr="008C1816">
        <w:t>National Context</w:t>
      </w:r>
    </w:p>
    <w:p w:rsidR="002F756D" w:rsidRPr="00222B7C" w:rsidRDefault="00A1276A">
      <w:pPr>
        <w:pStyle w:val="Heading4"/>
        <w:ind w:hanging="855"/>
        <w:rPr>
          <w:szCs w:val="22"/>
        </w:rPr>
      </w:pPr>
      <w:r>
        <w:rPr>
          <w:szCs w:val="22"/>
        </w:rPr>
        <w:t>5</w:t>
      </w:r>
      <w:r w:rsidR="002F756D" w:rsidRPr="00222B7C">
        <w:rPr>
          <w:szCs w:val="22"/>
        </w:rPr>
        <w:t>.1</w:t>
      </w:r>
      <w:r w:rsidR="002F756D" w:rsidRPr="00222B7C">
        <w:rPr>
          <w:szCs w:val="22"/>
        </w:rPr>
        <w:tab/>
        <w:t>Internal Consultations</w:t>
      </w:r>
    </w:p>
    <w:p w:rsidR="002F756D" w:rsidRPr="00222B7C" w:rsidRDefault="00A1276A">
      <w:pPr>
        <w:pStyle w:val="Body"/>
        <w:rPr>
          <w:szCs w:val="22"/>
        </w:rPr>
      </w:pPr>
      <w:r>
        <w:rPr>
          <w:i/>
          <w:szCs w:val="22"/>
        </w:rPr>
        <w:t>5</w:t>
      </w:r>
      <w:r w:rsidR="002F756D" w:rsidRPr="00222B7C">
        <w:rPr>
          <w:i/>
          <w:szCs w:val="22"/>
        </w:rPr>
        <w:t>.1.1</w:t>
      </w:r>
      <w:r w:rsidR="002F756D" w:rsidRPr="00222B7C">
        <w:rPr>
          <w:szCs w:val="22"/>
        </w:rPr>
        <w:tab/>
      </w:r>
      <w:r>
        <w:rPr>
          <w:szCs w:val="22"/>
        </w:rPr>
        <w:t xml:space="preserve">Consultations are ongoing with the Malta Resources Authority and Transport </w:t>
      </w:r>
      <w:smartTag w:uri="urn:schemas-microsoft-com:office:smarttags" w:element="country-region">
        <w:smartTag w:uri="urn:schemas-microsoft-com:office:smarttags" w:element="place">
          <w:r>
            <w:rPr>
              <w:szCs w:val="22"/>
            </w:rPr>
            <w:t>Malta</w:t>
          </w:r>
        </w:smartTag>
      </w:smartTag>
      <w:r>
        <w:rPr>
          <w:szCs w:val="22"/>
        </w:rPr>
        <w:t xml:space="preserve">. </w:t>
      </w:r>
    </w:p>
    <w:p w:rsidR="002F756D" w:rsidRPr="00222B7C" w:rsidRDefault="00A1276A">
      <w:pPr>
        <w:pStyle w:val="Heading4"/>
        <w:ind w:hanging="855"/>
        <w:rPr>
          <w:szCs w:val="22"/>
        </w:rPr>
      </w:pPr>
      <w:r>
        <w:rPr>
          <w:szCs w:val="22"/>
        </w:rPr>
        <w:t>5</w:t>
      </w:r>
      <w:r w:rsidR="002F756D" w:rsidRPr="00222B7C">
        <w:rPr>
          <w:szCs w:val="22"/>
        </w:rPr>
        <w:t>.2</w:t>
      </w:r>
      <w:r w:rsidR="002F756D" w:rsidRPr="00222B7C">
        <w:rPr>
          <w:szCs w:val="22"/>
        </w:rPr>
        <w:tab/>
        <w:t>External Consultations</w:t>
      </w:r>
    </w:p>
    <w:p w:rsidR="002F756D" w:rsidRPr="00222B7C" w:rsidRDefault="00A1276A">
      <w:pPr>
        <w:pStyle w:val="Body"/>
        <w:rPr>
          <w:szCs w:val="22"/>
        </w:rPr>
      </w:pPr>
      <w:r>
        <w:rPr>
          <w:i/>
          <w:szCs w:val="22"/>
        </w:rPr>
        <w:t>5</w:t>
      </w:r>
      <w:r w:rsidR="002F756D" w:rsidRPr="00222B7C">
        <w:rPr>
          <w:i/>
          <w:szCs w:val="22"/>
        </w:rPr>
        <w:t>.2.1</w:t>
      </w:r>
      <w:r w:rsidR="002F756D" w:rsidRPr="00222B7C">
        <w:rPr>
          <w:szCs w:val="22"/>
        </w:rPr>
        <w:tab/>
      </w:r>
      <w:r>
        <w:rPr>
          <w:szCs w:val="22"/>
        </w:rPr>
        <w:t xml:space="preserve">A MEUSAC sectoral </w:t>
      </w:r>
      <w:r w:rsidR="006B196D">
        <w:rPr>
          <w:szCs w:val="22"/>
        </w:rPr>
        <w:t>committee meeting on this Proposal will be held on 22 October 2013.</w:t>
      </w:r>
      <w:r w:rsidR="00351C87">
        <w:rPr>
          <w:szCs w:val="22"/>
        </w:rPr>
        <w:t xml:space="preserve"> </w:t>
      </w:r>
    </w:p>
    <w:p w:rsidR="002F756D" w:rsidRPr="00222B7C" w:rsidRDefault="006B196D">
      <w:pPr>
        <w:pStyle w:val="Heading4"/>
        <w:ind w:hanging="855"/>
        <w:rPr>
          <w:szCs w:val="22"/>
        </w:rPr>
      </w:pPr>
      <w:r>
        <w:rPr>
          <w:szCs w:val="22"/>
        </w:rPr>
        <w:t>5</w:t>
      </w:r>
      <w:r w:rsidR="002F756D" w:rsidRPr="00222B7C">
        <w:rPr>
          <w:szCs w:val="22"/>
        </w:rPr>
        <w:t>.3</w:t>
      </w:r>
      <w:r w:rsidR="002F756D" w:rsidRPr="00222B7C">
        <w:rPr>
          <w:szCs w:val="22"/>
        </w:rPr>
        <w:tab/>
        <w:t xml:space="preserve">Related national legislation </w:t>
      </w:r>
    </w:p>
    <w:p w:rsidR="002F756D" w:rsidRPr="00222B7C" w:rsidRDefault="006B196D">
      <w:pPr>
        <w:overflowPunct/>
        <w:spacing w:after="130"/>
        <w:ind w:hanging="855"/>
        <w:textAlignment w:val="auto"/>
        <w:rPr>
          <w:rFonts w:ascii="Times New Roman" w:hAnsi="Times New Roman"/>
          <w:sz w:val="22"/>
          <w:szCs w:val="22"/>
        </w:rPr>
      </w:pPr>
      <w:r>
        <w:rPr>
          <w:rFonts w:ascii="Times New Roman" w:hAnsi="Times New Roman"/>
          <w:i/>
          <w:sz w:val="22"/>
          <w:szCs w:val="22"/>
        </w:rPr>
        <w:t>5</w:t>
      </w:r>
      <w:r w:rsidR="002F756D" w:rsidRPr="00222B7C">
        <w:rPr>
          <w:rFonts w:ascii="Times New Roman" w:hAnsi="Times New Roman"/>
          <w:i/>
          <w:sz w:val="22"/>
          <w:szCs w:val="22"/>
        </w:rPr>
        <w:t>.3.1</w:t>
      </w:r>
      <w:r w:rsidR="002F756D" w:rsidRPr="00222B7C">
        <w:rPr>
          <w:rFonts w:ascii="Times New Roman" w:hAnsi="Times New Roman"/>
          <w:sz w:val="22"/>
          <w:szCs w:val="22"/>
        </w:rPr>
        <w:tab/>
      </w:r>
      <w:r>
        <w:rPr>
          <w:rFonts w:ascii="Times New Roman" w:hAnsi="Times New Roman"/>
          <w:sz w:val="22"/>
          <w:szCs w:val="22"/>
        </w:rPr>
        <w:t>N/A</w:t>
      </w:r>
    </w:p>
    <w:p w:rsidR="002F756D" w:rsidRPr="00222B7C" w:rsidRDefault="006B196D">
      <w:pPr>
        <w:pStyle w:val="Heading4"/>
        <w:ind w:hanging="855"/>
        <w:rPr>
          <w:szCs w:val="22"/>
        </w:rPr>
      </w:pPr>
      <w:r>
        <w:rPr>
          <w:szCs w:val="22"/>
        </w:rPr>
        <w:t>5</w:t>
      </w:r>
      <w:r w:rsidR="002F756D" w:rsidRPr="00222B7C">
        <w:rPr>
          <w:szCs w:val="22"/>
        </w:rPr>
        <w:t>.4</w:t>
      </w:r>
      <w:r w:rsidR="002F756D" w:rsidRPr="00222B7C">
        <w:rPr>
          <w:szCs w:val="22"/>
        </w:rPr>
        <w:tab/>
        <w:t xml:space="preserve">Changes required in national legislation </w:t>
      </w:r>
    </w:p>
    <w:p w:rsidR="002F756D" w:rsidRDefault="006B196D">
      <w:pPr>
        <w:overflowPunct/>
        <w:spacing w:after="130"/>
        <w:ind w:hanging="855"/>
        <w:textAlignment w:val="auto"/>
        <w:rPr>
          <w:rFonts w:ascii="Times New Roman" w:hAnsi="Times New Roman"/>
          <w:sz w:val="22"/>
          <w:szCs w:val="22"/>
        </w:rPr>
      </w:pPr>
      <w:r>
        <w:rPr>
          <w:rFonts w:ascii="Times New Roman" w:hAnsi="Times New Roman"/>
          <w:i/>
          <w:sz w:val="22"/>
          <w:szCs w:val="22"/>
        </w:rPr>
        <w:t>5</w:t>
      </w:r>
      <w:r w:rsidR="002F756D" w:rsidRPr="00222B7C">
        <w:rPr>
          <w:rFonts w:ascii="Times New Roman" w:hAnsi="Times New Roman"/>
          <w:i/>
          <w:sz w:val="22"/>
          <w:szCs w:val="22"/>
        </w:rPr>
        <w:t>.4.1</w:t>
      </w:r>
      <w:r w:rsidR="002F756D" w:rsidRPr="00222B7C">
        <w:rPr>
          <w:rFonts w:ascii="Times New Roman" w:hAnsi="Times New Roman"/>
          <w:sz w:val="22"/>
          <w:szCs w:val="22"/>
        </w:rPr>
        <w:tab/>
      </w:r>
      <w:r>
        <w:rPr>
          <w:rFonts w:ascii="Times New Roman" w:hAnsi="Times New Roman"/>
          <w:sz w:val="22"/>
          <w:szCs w:val="22"/>
        </w:rPr>
        <w:t>N/A</w:t>
      </w:r>
    </w:p>
    <w:p w:rsidR="002F7958" w:rsidRDefault="002F7958">
      <w:pPr>
        <w:overflowPunct/>
        <w:spacing w:after="130"/>
        <w:ind w:hanging="855"/>
        <w:textAlignment w:val="auto"/>
        <w:rPr>
          <w:rFonts w:ascii="Times New Roman" w:hAnsi="Times New Roman"/>
          <w:sz w:val="22"/>
          <w:szCs w:val="22"/>
        </w:rPr>
      </w:pPr>
    </w:p>
    <w:p w:rsidR="006B196D" w:rsidRDefault="006B196D" w:rsidP="00172E47">
      <w:pPr>
        <w:rPr>
          <w:rFonts w:ascii="Times New Roman" w:hAnsi="Times New Roman"/>
          <w:b/>
          <w:iCs/>
          <w:sz w:val="22"/>
          <w:szCs w:val="22"/>
          <w:lang w:val="en-US"/>
        </w:rPr>
      </w:pPr>
      <w:r>
        <w:rPr>
          <w:rFonts w:ascii="Times New Roman" w:hAnsi="Times New Roman"/>
          <w:b/>
          <w:iCs/>
          <w:sz w:val="22"/>
          <w:szCs w:val="22"/>
          <w:lang w:val="en-US"/>
        </w:rPr>
        <w:br w:type="page"/>
      </w:r>
      <w:r w:rsidR="001E296F">
        <w:rPr>
          <w:rFonts w:ascii="Times New Roman" w:hAnsi="Times New Roman"/>
          <w:b/>
          <w:iCs/>
          <w:noProof/>
          <w:lang w:eastAsia="en-GB"/>
        </w:rPr>
        <w:drawing>
          <wp:anchor distT="0" distB="0" distL="114300" distR="114300" simplePos="0" relativeHeight="251658240" behindDoc="0" locked="0" layoutInCell="1" allowOverlap="1">
            <wp:simplePos x="0" y="0"/>
            <wp:positionH relativeFrom="column">
              <wp:posOffset>54610</wp:posOffset>
            </wp:positionH>
            <wp:positionV relativeFrom="paragraph">
              <wp:posOffset>-323850</wp:posOffset>
            </wp:positionV>
            <wp:extent cx="590550" cy="790575"/>
            <wp:effectExtent l="19050" t="0" r="0" b="0"/>
            <wp:wrapNone/>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srcRect/>
                    <a:stretch>
                      <a:fillRect/>
                    </a:stretch>
                  </pic:blipFill>
                  <pic:spPr bwMode="auto">
                    <a:xfrm>
                      <a:off x="0" y="0"/>
                      <a:ext cx="590550" cy="790575"/>
                    </a:xfrm>
                    <a:prstGeom prst="rect">
                      <a:avLst/>
                    </a:prstGeom>
                    <a:noFill/>
                    <a:ln w="9525">
                      <a:noFill/>
                      <a:miter lim="800000"/>
                      <a:headEnd/>
                      <a:tailEnd/>
                    </a:ln>
                  </pic:spPr>
                </pic:pic>
              </a:graphicData>
            </a:graphic>
          </wp:anchor>
        </w:drawing>
      </w:r>
    </w:p>
    <w:p w:rsidR="006B196D" w:rsidRDefault="006B196D" w:rsidP="00172E47">
      <w:pPr>
        <w:rPr>
          <w:rFonts w:ascii="Times New Roman" w:hAnsi="Times New Roman"/>
          <w:b/>
          <w:iCs/>
          <w:sz w:val="22"/>
          <w:szCs w:val="22"/>
          <w:lang w:val="en-US"/>
        </w:rPr>
      </w:pPr>
    </w:p>
    <w:p w:rsidR="006B196D" w:rsidRDefault="006B196D" w:rsidP="00172E47">
      <w:pPr>
        <w:rPr>
          <w:rFonts w:ascii="Times New Roman" w:hAnsi="Times New Roman"/>
          <w:b/>
          <w:iCs/>
          <w:sz w:val="22"/>
          <w:szCs w:val="22"/>
          <w:lang w:val="en-US"/>
        </w:rPr>
      </w:pPr>
    </w:p>
    <w:p w:rsidR="006B196D" w:rsidRDefault="006B196D" w:rsidP="00172E47">
      <w:pPr>
        <w:rPr>
          <w:rFonts w:ascii="Times New Roman" w:hAnsi="Times New Roman"/>
          <w:b/>
          <w:iCs/>
          <w:sz w:val="22"/>
          <w:szCs w:val="22"/>
          <w:lang w:val="en-US"/>
        </w:rPr>
      </w:pPr>
    </w:p>
    <w:p w:rsidR="006B196D" w:rsidRDefault="006B196D" w:rsidP="00CA6D7F">
      <w:pPr>
        <w:pStyle w:val="Heading5"/>
        <w:jc w:val="both"/>
        <w:rPr>
          <w:lang w:val="en-US"/>
        </w:rPr>
      </w:pPr>
      <w:r w:rsidRPr="006B196D">
        <w:rPr>
          <w:lang w:val="en-US"/>
        </w:rPr>
        <w:t>OPINJONI MOTIVATA:</w:t>
      </w:r>
      <w:r>
        <w:rPr>
          <w:lang w:val="en-US"/>
        </w:rPr>
        <w:t xml:space="preserve"> </w:t>
      </w:r>
      <w:r w:rsidR="00CA6D7F">
        <w:rPr>
          <w:lang w:val="en-US"/>
        </w:rPr>
        <w:t>proposta g</w:t>
      </w:r>
      <w:r w:rsidR="00CA6D7F">
        <w:rPr>
          <w:rFonts w:ascii="Arial" w:hAnsi="Arial" w:cs="Arial"/>
          <w:lang w:val="en-US"/>
        </w:rPr>
        <w:t>ħ</w:t>
      </w:r>
      <w:r w:rsidR="00CA6D7F">
        <w:rPr>
          <w:lang w:val="en-US"/>
        </w:rPr>
        <w:t>al regolament tal-parlament ewropew u tal-kunsill dwar il-monitora</w:t>
      </w:r>
      <w:r w:rsidR="00CA6D7F">
        <w:rPr>
          <w:rFonts w:ascii="Arial" w:hAnsi="Arial" w:cs="Arial"/>
          <w:lang w:val="en-US"/>
        </w:rPr>
        <w:t>ĠĠ</w:t>
      </w:r>
      <w:r w:rsidR="00CA6D7F">
        <w:rPr>
          <w:lang w:val="en-US"/>
        </w:rPr>
        <w:t>, ir-rappurtar u l-verifika tal-emissjonijiet tad-diossidu tal-karbonju mit-trasport marittimu u li jemenda r-regolament (UE) Nru 525/2013 (KUMM (2013) 480)</w:t>
      </w:r>
    </w:p>
    <w:p w:rsidR="00FE1EC5" w:rsidRPr="00464F44" w:rsidRDefault="00FE1EC5" w:rsidP="00FE1EC5">
      <w:pPr>
        <w:spacing w:after="130"/>
        <w:rPr>
          <w:rFonts w:ascii="Times New Roman" w:hAnsi="Times New Roman"/>
          <w:iCs/>
          <w:sz w:val="22"/>
          <w:szCs w:val="22"/>
          <w:lang w:val="mt-MT"/>
        </w:rPr>
      </w:pPr>
      <w:r>
        <w:rPr>
          <w:rFonts w:ascii="Times New Roman" w:hAnsi="Times New Roman"/>
          <w:iCs/>
          <w:sz w:val="22"/>
          <w:szCs w:val="22"/>
          <w:lang w:val="en-US"/>
        </w:rPr>
        <w:t>Il-Parlament Malti jikkunsidra li l-g</w:t>
      </w:r>
      <w:r>
        <w:rPr>
          <w:rFonts w:ascii="Times New Roman" w:hAnsi="Times New Roman"/>
          <w:iCs/>
          <w:sz w:val="22"/>
          <w:szCs w:val="22"/>
          <w:lang w:val="mt-MT"/>
        </w:rPr>
        <w:t>ħanijiet tal-Proposta għall-Regolament fuq il-monitoraġġ, ir-rap</w:t>
      </w:r>
      <w:r w:rsidR="00D56228">
        <w:rPr>
          <w:rFonts w:ascii="Times New Roman" w:hAnsi="Times New Roman"/>
          <w:iCs/>
          <w:sz w:val="22"/>
          <w:szCs w:val="22"/>
          <w:lang w:val="mt-MT"/>
        </w:rPr>
        <w:t>p</w:t>
      </w:r>
      <w:r>
        <w:rPr>
          <w:rFonts w:ascii="Times New Roman" w:hAnsi="Times New Roman"/>
          <w:iCs/>
          <w:sz w:val="22"/>
          <w:szCs w:val="22"/>
          <w:lang w:val="mt-MT"/>
        </w:rPr>
        <w:t>urtar u l-verifikazzjoni (MRV) tal-emissjonijiet tal-</w:t>
      </w:r>
      <w:r w:rsidRPr="005766C6">
        <w:rPr>
          <w:rFonts w:ascii="Times New Roman" w:hAnsi="Times New Roman"/>
          <w:i/>
          <w:iCs/>
          <w:sz w:val="22"/>
          <w:szCs w:val="22"/>
          <w:lang w:val="mt-MT"/>
        </w:rPr>
        <w:t>carbon dioxide</w:t>
      </w:r>
      <w:r>
        <w:rPr>
          <w:rFonts w:ascii="Times New Roman" w:hAnsi="Times New Roman"/>
          <w:iCs/>
          <w:sz w:val="22"/>
          <w:szCs w:val="22"/>
          <w:lang w:val="mt-MT"/>
        </w:rPr>
        <w:t xml:space="preserve"> mit-trasport marittimu ma jintlaħqux bl-aħjar mod fuq livell tal-Unjoni Ewropea u din il-Proposta mhijiex ikkunsidrata bħala ġusfikata skont it-termini ta’ Artiklu 5(3) tat-Trattat tal-Unjoni Ewropea.</w:t>
      </w:r>
    </w:p>
    <w:p w:rsidR="00FE1EC5" w:rsidRDefault="00FE1EC5" w:rsidP="00FE1EC5">
      <w:pPr>
        <w:pStyle w:val="body0"/>
        <w:spacing w:after="130"/>
        <w:jc w:val="both"/>
        <w:rPr>
          <w:sz w:val="22"/>
          <w:szCs w:val="22"/>
          <w:lang w:val="mt-MT"/>
        </w:rPr>
      </w:pPr>
      <w:r>
        <w:rPr>
          <w:sz w:val="22"/>
          <w:szCs w:val="22"/>
        </w:rPr>
        <w:t xml:space="preserve">Il-Parlament Malti jirrikonoxxi l-ħtieġa li jitnaqqsu l-emissjonijiet tal-gassijiet serra kkaġunati mit-transport marittimu internazzjonali, b’mod partikolari għax huwa mifhum illi s-settur marittimu internazzjonali għandu jikber b’mod sinifikanti fil-futur.  Mill-perspettiva tat-tibdil fil-klima, </w:t>
      </w:r>
      <w:r>
        <w:rPr>
          <w:sz w:val="22"/>
          <w:szCs w:val="22"/>
          <w:lang w:val="mt-MT"/>
        </w:rPr>
        <w:t xml:space="preserve">azzjonijiet li jikkontribwixxu </w:t>
      </w:r>
      <w:r>
        <w:rPr>
          <w:sz w:val="22"/>
          <w:szCs w:val="22"/>
        </w:rPr>
        <w:t>biex l-emissjonijiet tal-gassijiet serra jkunu limitati jew jiġu mnaqqsa, huma milqug</w:t>
      </w:r>
      <w:r>
        <w:rPr>
          <w:sz w:val="22"/>
          <w:szCs w:val="22"/>
          <w:lang w:val="mt-MT"/>
        </w:rPr>
        <w:t>ħa</w:t>
      </w:r>
      <w:r>
        <w:rPr>
          <w:sz w:val="22"/>
          <w:szCs w:val="22"/>
        </w:rPr>
        <w:t>.  Madanakollu, il-Parlament Malti jemmen illi</w:t>
      </w:r>
      <w:r>
        <w:rPr>
          <w:sz w:val="22"/>
          <w:szCs w:val="22"/>
          <w:lang w:val="mt-MT"/>
        </w:rPr>
        <w:t>,</w:t>
      </w:r>
      <w:r>
        <w:rPr>
          <w:sz w:val="22"/>
          <w:szCs w:val="22"/>
        </w:rPr>
        <w:t xml:space="preserve"> minħabba n-natura internazzjonali</w:t>
      </w:r>
      <w:r>
        <w:rPr>
          <w:sz w:val="22"/>
          <w:szCs w:val="22"/>
          <w:lang w:val="mt-MT"/>
        </w:rPr>
        <w:t xml:space="preserve"> u partikolari</w:t>
      </w:r>
      <w:r>
        <w:rPr>
          <w:sz w:val="22"/>
          <w:szCs w:val="22"/>
        </w:rPr>
        <w:t xml:space="preserve"> ta’ din l-industrija</w:t>
      </w:r>
      <w:r>
        <w:rPr>
          <w:sz w:val="22"/>
          <w:szCs w:val="22"/>
          <w:lang w:val="mt-MT"/>
        </w:rPr>
        <w:t>, huwa biss</w:t>
      </w:r>
      <w:r>
        <w:rPr>
          <w:sz w:val="22"/>
          <w:szCs w:val="22"/>
        </w:rPr>
        <w:t xml:space="preserve"> strument globali maħluq taħt l-awspeċi tal-Organizzazzjoni Marittima Internazzjonali (IMO) </w:t>
      </w:r>
      <w:r>
        <w:rPr>
          <w:sz w:val="22"/>
          <w:szCs w:val="22"/>
          <w:lang w:val="mt-MT"/>
        </w:rPr>
        <w:t xml:space="preserve">li </w:t>
      </w:r>
      <w:r>
        <w:rPr>
          <w:sz w:val="22"/>
          <w:szCs w:val="22"/>
        </w:rPr>
        <w:t>jista’ jirregola b’mod effiċjenti l-industrija tat-tbaħħir u l-emissjonijiet kkaġunati</w:t>
      </w:r>
      <w:r>
        <w:rPr>
          <w:sz w:val="22"/>
          <w:szCs w:val="22"/>
          <w:lang w:val="mt-MT"/>
        </w:rPr>
        <w:t xml:space="preserve"> </w:t>
      </w:r>
      <w:smartTag w:uri="urn:schemas-microsoft-com:office:smarttags" w:element="place">
        <w:smartTag w:uri="urn:schemas-microsoft-com:office:smarttags" w:element="State">
          <w:r>
            <w:rPr>
              <w:sz w:val="22"/>
              <w:szCs w:val="22"/>
              <w:lang w:val="mt-MT"/>
            </w:rPr>
            <w:t>minn</w:t>
          </w:r>
        </w:smartTag>
      </w:smartTag>
      <w:r>
        <w:rPr>
          <w:sz w:val="22"/>
          <w:szCs w:val="22"/>
          <w:lang w:val="mt-MT"/>
        </w:rPr>
        <w:t xml:space="preserve"> din l-industrija</w:t>
      </w:r>
      <w:r>
        <w:rPr>
          <w:sz w:val="22"/>
          <w:szCs w:val="22"/>
        </w:rPr>
        <w:t xml:space="preserve">. </w:t>
      </w:r>
    </w:p>
    <w:p w:rsidR="00FE1EC5" w:rsidRDefault="00FE1EC5" w:rsidP="00FE1EC5">
      <w:pPr>
        <w:pStyle w:val="body0"/>
        <w:spacing w:after="130"/>
        <w:jc w:val="both"/>
        <w:rPr>
          <w:sz w:val="22"/>
          <w:szCs w:val="22"/>
        </w:rPr>
      </w:pPr>
      <w:r>
        <w:rPr>
          <w:sz w:val="22"/>
          <w:szCs w:val="22"/>
          <w:lang w:val="mt-MT"/>
        </w:rPr>
        <w:t>Il-Parlament Malti jqis li s</w:t>
      </w:r>
      <w:r>
        <w:rPr>
          <w:sz w:val="22"/>
          <w:szCs w:val="22"/>
        </w:rPr>
        <w:t xml:space="preserve">trument reġjonali fuq l-MRV fiż-żmien meta l-Organizzazzjoni Marittima Internazzjonali diġà bdiet diskussjonijiet dwar dan, jista’ </w:t>
      </w:r>
      <w:r>
        <w:rPr>
          <w:sz w:val="22"/>
          <w:szCs w:val="22"/>
          <w:lang w:val="mt-MT"/>
        </w:rPr>
        <w:t>jkun kontro-</w:t>
      </w:r>
      <w:r>
        <w:rPr>
          <w:sz w:val="22"/>
          <w:szCs w:val="22"/>
        </w:rPr>
        <w:t xml:space="preserve">produttiv fid-deliberazzjonijiet u n-negozjati ma’ Membri Stati oħra ta’ din l-Organizzazzjoni.  Għalhekk kull tentattiv </w:t>
      </w:r>
      <w:r>
        <w:rPr>
          <w:sz w:val="22"/>
          <w:szCs w:val="22"/>
          <w:lang w:val="mt-MT"/>
        </w:rPr>
        <w:t xml:space="preserve">unilaterali mill-Unjoni Ewropea (UE) </w:t>
      </w:r>
      <w:r>
        <w:rPr>
          <w:sz w:val="22"/>
          <w:szCs w:val="22"/>
        </w:rPr>
        <w:t xml:space="preserve">biex </w:t>
      </w:r>
      <w:r>
        <w:rPr>
          <w:sz w:val="22"/>
          <w:szCs w:val="22"/>
          <w:lang w:val="mt-MT"/>
        </w:rPr>
        <w:t xml:space="preserve">tindirizza </w:t>
      </w:r>
      <w:r>
        <w:rPr>
          <w:sz w:val="22"/>
          <w:szCs w:val="22"/>
        </w:rPr>
        <w:t xml:space="preserve">din </w:t>
      </w:r>
      <w:r w:rsidR="00D56228">
        <w:rPr>
          <w:sz w:val="22"/>
          <w:szCs w:val="22"/>
        </w:rPr>
        <w:t>il-kwistjoni</w:t>
      </w:r>
      <w:r>
        <w:rPr>
          <w:sz w:val="22"/>
          <w:szCs w:val="22"/>
        </w:rPr>
        <w:t xml:space="preserve"> mhux biss tirrendi t-tbaħħir fl-UE aktar oneruż meta mqabbel ma’ tbaħħir f’pajjiżi terzi, iżda wkoll jista’ jippreġ</w:t>
      </w:r>
      <w:r w:rsidR="0071126A">
        <w:rPr>
          <w:sz w:val="22"/>
          <w:szCs w:val="22"/>
        </w:rPr>
        <w:t>ud</w:t>
      </w:r>
      <w:r>
        <w:rPr>
          <w:sz w:val="22"/>
          <w:szCs w:val="22"/>
        </w:rPr>
        <w:t>ika negozjati internazzjonali.</w:t>
      </w:r>
    </w:p>
    <w:p w:rsidR="00FE1EC5" w:rsidRPr="00767FF9" w:rsidRDefault="00FE1EC5" w:rsidP="00FE1EC5">
      <w:pPr>
        <w:spacing w:after="130"/>
        <w:rPr>
          <w:rFonts w:ascii="Times New Roman" w:hAnsi="Times New Roman"/>
          <w:iCs/>
          <w:sz w:val="22"/>
          <w:szCs w:val="22"/>
        </w:rPr>
      </w:pPr>
      <w:r>
        <w:rPr>
          <w:rStyle w:val="hps"/>
          <w:rFonts w:ascii="Times New Roman" w:hAnsi="Times New Roman"/>
          <w:sz w:val="22"/>
          <w:szCs w:val="22"/>
        </w:rPr>
        <w:t>Il-Parliament Malti jixtieq ukoll jesprimi t-tħassib tiegħu rigward id-diffikultajiet relatati mal-applikazzjoni tar-Regolament propost.  Stat Membru tal-Unjoni Ewropea ma jista</w:t>
      </w:r>
      <w:r>
        <w:rPr>
          <w:rStyle w:val="hps"/>
          <w:rFonts w:ascii="Times New Roman" w:hAnsi="Times New Roman"/>
          <w:sz w:val="22"/>
          <w:szCs w:val="22"/>
          <w:lang w:val="mt-MT"/>
        </w:rPr>
        <w:t>x</w:t>
      </w:r>
      <w:r>
        <w:rPr>
          <w:rStyle w:val="hps"/>
          <w:rFonts w:ascii="Times New Roman" w:hAnsi="Times New Roman"/>
          <w:sz w:val="22"/>
          <w:szCs w:val="22"/>
        </w:rPr>
        <w:t xml:space="preserve"> jobbliga bastiment li ma jtajjarx il-bandiera tiegħu sabiex jipprovdi </w:t>
      </w:r>
      <w:r w:rsidRPr="005766C6">
        <w:rPr>
          <w:rStyle w:val="hps"/>
          <w:rFonts w:ascii="Times New Roman" w:hAnsi="Times New Roman"/>
          <w:i/>
          <w:sz w:val="22"/>
          <w:szCs w:val="22"/>
        </w:rPr>
        <w:t xml:space="preserve">data </w:t>
      </w:r>
      <w:r>
        <w:rPr>
          <w:rStyle w:val="hps"/>
          <w:rFonts w:ascii="Times New Roman" w:hAnsi="Times New Roman"/>
          <w:sz w:val="22"/>
          <w:szCs w:val="22"/>
        </w:rPr>
        <w:t xml:space="preserve">dwar l-emissjonijiet tal-gassijiet serra meta jkun qed ibaħħar barra mill-ibħra interni tiegħu. Lanqas </w:t>
      </w:r>
      <w:r>
        <w:rPr>
          <w:rStyle w:val="hps"/>
          <w:rFonts w:ascii="Times New Roman" w:hAnsi="Times New Roman"/>
          <w:sz w:val="22"/>
          <w:szCs w:val="22"/>
          <w:lang w:val="mt-MT"/>
        </w:rPr>
        <w:t xml:space="preserve">ma </w:t>
      </w:r>
      <w:r>
        <w:rPr>
          <w:rStyle w:val="hps"/>
          <w:rFonts w:ascii="Times New Roman" w:hAnsi="Times New Roman"/>
          <w:sz w:val="22"/>
          <w:szCs w:val="22"/>
        </w:rPr>
        <w:t>jista</w:t>
      </w:r>
      <w:r w:rsidR="0071126A">
        <w:rPr>
          <w:rStyle w:val="hps"/>
          <w:rFonts w:ascii="Times New Roman" w:hAnsi="Times New Roman"/>
          <w:sz w:val="22"/>
          <w:szCs w:val="22"/>
        </w:rPr>
        <w:t>’</w:t>
      </w:r>
      <w:r>
        <w:rPr>
          <w:rStyle w:val="hps"/>
          <w:rFonts w:ascii="Times New Roman" w:hAnsi="Times New Roman"/>
          <w:sz w:val="22"/>
          <w:szCs w:val="22"/>
        </w:rPr>
        <w:t xml:space="preserve"> jobbligah sabiex jieħu s</w:t>
      </w:r>
      <w:r>
        <w:rPr>
          <w:rStyle w:val="hps"/>
          <w:rFonts w:ascii="Times New Roman" w:hAnsi="Times New Roman"/>
          <w:sz w:val="22"/>
          <w:szCs w:val="22"/>
          <w:lang w:val="mt-MT"/>
        </w:rPr>
        <w:t>e</w:t>
      </w:r>
      <w:r>
        <w:rPr>
          <w:rStyle w:val="hps"/>
          <w:rFonts w:ascii="Times New Roman" w:hAnsi="Times New Roman"/>
          <w:sz w:val="22"/>
          <w:szCs w:val="22"/>
        </w:rPr>
        <w:t xml:space="preserve">hem f’sistema li żżomm rendikont tal-emissjonijiet. F’dan il-kuntest, issir refererenza għall-problemi </w:t>
      </w:r>
      <w:r>
        <w:rPr>
          <w:rStyle w:val="hps"/>
          <w:rFonts w:ascii="Times New Roman" w:hAnsi="Times New Roman"/>
          <w:sz w:val="22"/>
          <w:szCs w:val="22"/>
          <w:lang w:val="mt-MT"/>
        </w:rPr>
        <w:t>li nħolqu permezz tal-</w:t>
      </w:r>
      <w:r>
        <w:rPr>
          <w:rStyle w:val="hps"/>
          <w:rFonts w:ascii="Times New Roman" w:hAnsi="Times New Roman"/>
          <w:sz w:val="22"/>
          <w:szCs w:val="22"/>
        </w:rPr>
        <w:t>iskema dwar l-emissjonijiet relatati mal-avjazzjoni.</w:t>
      </w:r>
    </w:p>
    <w:p w:rsidR="00FE1EC5" w:rsidRDefault="00FE1EC5" w:rsidP="00FE1EC5">
      <w:pPr>
        <w:spacing w:after="130"/>
        <w:rPr>
          <w:rFonts w:ascii="Times New Roman" w:hAnsi="Times New Roman"/>
          <w:sz w:val="22"/>
          <w:szCs w:val="22"/>
        </w:rPr>
      </w:pPr>
      <w:r>
        <w:rPr>
          <w:rFonts w:ascii="Times New Roman" w:hAnsi="Times New Roman"/>
          <w:sz w:val="22"/>
          <w:szCs w:val="22"/>
          <w:lang w:val="mt-MT"/>
        </w:rPr>
        <w:t>Il-Parliament Malti jqis li l-</w:t>
      </w:r>
      <w:r>
        <w:rPr>
          <w:rFonts w:ascii="Times New Roman" w:hAnsi="Times New Roman"/>
          <w:sz w:val="22"/>
          <w:szCs w:val="22"/>
        </w:rPr>
        <w:t>P</w:t>
      </w:r>
      <w:r w:rsidRPr="000436FB">
        <w:rPr>
          <w:rFonts w:ascii="Times New Roman" w:hAnsi="Times New Roman"/>
          <w:sz w:val="22"/>
          <w:szCs w:val="22"/>
        </w:rPr>
        <w:t xml:space="preserve">roposta </w:t>
      </w:r>
      <w:r>
        <w:rPr>
          <w:rFonts w:ascii="Times New Roman" w:hAnsi="Times New Roman"/>
          <w:sz w:val="22"/>
          <w:szCs w:val="22"/>
          <w:lang w:val="mt-MT"/>
        </w:rPr>
        <w:t xml:space="preserve">għandha impatt negattiv sproporzjonat meta jitqies il-gwadann ambjentali u klimatiku li jista’ jinkiseb </w:t>
      </w:r>
      <w:r>
        <w:rPr>
          <w:rFonts w:ascii="Times New Roman" w:hAnsi="Times New Roman"/>
          <w:sz w:val="22"/>
          <w:szCs w:val="22"/>
        </w:rPr>
        <w:t>bħala riżultat. L-applikazzjoni tar-</w:t>
      </w:r>
      <w:r>
        <w:rPr>
          <w:rFonts w:ascii="Times New Roman" w:hAnsi="Times New Roman"/>
          <w:sz w:val="22"/>
          <w:szCs w:val="22"/>
          <w:lang w:val="mt-MT"/>
        </w:rPr>
        <w:t>R</w:t>
      </w:r>
      <w:r>
        <w:rPr>
          <w:rFonts w:ascii="Times New Roman" w:hAnsi="Times New Roman"/>
          <w:sz w:val="22"/>
          <w:szCs w:val="22"/>
        </w:rPr>
        <w:t>egolament</w:t>
      </w:r>
      <w:r>
        <w:rPr>
          <w:rFonts w:ascii="Times New Roman" w:hAnsi="Times New Roman"/>
          <w:sz w:val="22"/>
          <w:szCs w:val="22"/>
          <w:lang w:val="mt-MT"/>
        </w:rPr>
        <w:t xml:space="preserve"> propost</w:t>
      </w:r>
      <w:r>
        <w:rPr>
          <w:rFonts w:ascii="Times New Roman" w:hAnsi="Times New Roman"/>
          <w:sz w:val="22"/>
          <w:szCs w:val="22"/>
        </w:rPr>
        <w:t xml:space="preserve"> </w:t>
      </w:r>
      <w:r>
        <w:rPr>
          <w:rFonts w:ascii="Times New Roman" w:hAnsi="Times New Roman"/>
          <w:sz w:val="22"/>
          <w:szCs w:val="22"/>
          <w:lang w:val="mt-MT"/>
        </w:rPr>
        <w:t>i</w:t>
      </w:r>
      <w:r>
        <w:rPr>
          <w:rFonts w:ascii="Times New Roman" w:hAnsi="Times New Roman"/>
          <w:sz w:val="22"/>
          <w:szCs w:val="22"/>
        </w:rPr>
        <w:t xml:space="preserve">wassal għal żidiet fl-ispejjeż għall-kumpaniji tat-tbaħħir sabiex </w:t>
      </w:r>
      <w:r>
        <w:rPr>
          <w:rFonts w:ascii="Times New Roman" w:hAnsi="Times New Roman"/>
          <w:sz w:val="22"/>
          <w:szCs w:val="22"/>
          <w:lang w:val="mt-MT"/>
        </w:rPr>
        <w:t>jimmoniterjaw</w:t>
      </w:r>
      <w:r>
        <w:rPr>
          <w:rFonts w:ascii="Times New Roman" w:hAnsi="Times New Roman"/>
          <w:sz w:val="22"/>
          <w:szCs w:val="22"/>
        </w:rPr>
        <w:t xml:space="preserve"> il-vjaġġi tagħhom.  Wara dan il-proċess, irid ikun hemm verifikazzjoni li żżid il-ħin, l-isforz u l-ispejjeż finanzjarji. Il-</w:t>
      </w:r>
      <w:r>
        <w:rPr>
          <w:rFonts w:ascii="Times New Roman" w:hAnsi="Times New Roman"/>
          <w:sz w:val="22"/>
          <w:szCs w:val="22"/>
          <w:lang w:val="mt-MT"/>
        </w:rPr>
        <w:t xml:space="preserve">gwadann </w:t>
      </w:r>
      <w:r>
        <w:rPr>
          <w:rFonts w:ascii="Times New Roman" w:hAnsi="Times New Roman"/>
          <w:sz w:val="22"/>
          <w:szCs w:val="22"/>
        </w:rPr>
        <w:t xml:space="preserve">ambjentali </w:t>
      </w:r>
      <w:r>
        <w:rPr>
          <w:rFonts w:ascii="Times New Roman" w:hAnsi="Times New Roman"/>
          <w:sz w:val="22"/>
          <w:szCs w:val="22"/>
          <w:lang w:val="mt-MT"/>
        </w:rPr>
        <w:t xml:space="preserve">għalhekk mhux </w:t>
      </w:r>
      <w:r>
        <w:rPr>
          <w:rFonts w:ascii="Times New Roman" w:hAnsi="Times New Roman"/>
          <w:sz w:val="22"/>
          <w:szCs w:val="22"/>
        </w:rPr>
        <w:t xml:space="preserve">ġustifikat </w:t>
      </w:r>
      <w:r>
        <w:rPr>
          <w:rFonts w:ascii="Times New Roman" w:hAnsi="Times New Roman"/>
          <w:sz w:val="22"/>
          <w:szCs w:val="22"/>
          <w:lang w:val="mt-MT"/>
        </w:rPr>
        <w:t xml:space="preserve">anki </w:t>
      </w:r>
      <w:r>
        <w:rPr>
          <w:rFonts w:ascii="Times New Roman" w:hAnsi="Times New Roman"/>
          <w:sz w:val="22"/>
          <w:szCs w:val="22"/>
        </w:rPr>
        <w:t xml:space="preserve">għaliex it-tnaqqis </w:t>
      </w:r>
      <w:r>
        <w:rPr>
          <w:rFonts w:ascii="Times New Roman" w:hAnsi="Times New Roman"/>
          <w:sz w:val="22"/>
          <w:szCs w:val="22"/>
          <w:lang w:val="mt-MT"/>
        </w:rPr>
        <w:t xml:space="preserve">mistenni </w:t>
      </w:r>
      <w:r>
        <w:rPr>
          <w:rFonts w:ascii="Times New Roman" w:hAnsi="Times New Roman"/>
          <w:sz w:val="22"/>
          <w:szCs w:val="22"/>
        </w:rPr>
        <w:t xml:space="preserve">fl-emissjonijiet </w:t>
      </w:r>
      <w:r>
        <w:rPr>
          <w:rFonts w:ascii="Times New Roman" w:hAnsi="Times New Roman"/>
          <w:sz w:val="22"/>
          <w:szCs w:val="22"/>
          <w:lang w:val="mt-MT"/>
        </w:rPr>
        <w:t xml:space="preserve">mhux </w:t>
      </w:r>
      <w:r>
        <w:rPr>
          <w:rFonts w:ascii="Times New Roman" w:hAnsi="Times New Roman"/>
          <w:sz w:val="22"/>
          <w:szCs w:val="22"/>
        </w:rPr>
        <w:t xml:space="preserve">ta’ min joqgħod fuqu minħabba n-nuqqas ta data eżawrenti. </w:t>
      </w:r>
    </w:p>
    <w:p w:rsidR="00FE1EC5" w:rsidRPr="00D90CFF" w:rsidRDefault="00FE1EC5" w:rsidP="00FE1EC5">
      <w:pPr>
        <w:spacing w:after="130"/>
        <w:rPr>
          <w:rFonts w:ascii="Times New Roman" w:hAnsi="Times New Roman"/>
          <w:iCs/>
          <w:sz w:val="22"/>
          <w:szCs w:val="22"/>
        </w:rPr>
      </w:pPr>
      <w:r>
        <w:rPr>
          <w:rFonts w:ascii="Times New Roman" w:hAnsi="Times New Roman"/>
          <w:iCs/>
          <w:sz w:val="22"/>
          <w:szCs w:val="22"/>
          <w:lang w:val="en-US"/>
        </w:rPr>
        <w:t>Strument reġjonali unilaterali jirriskja li jpoġġi lill-Istati Membri tal-Unjoni Ewropea fi żvantaġġ kompetttiv kbir.  Dan ikun ta’ ħsara għall-ekonomija lokali minħabba l-impatt fuq is-</w:t>
      </w:r>
      <w:r w:rsidRPr="005766C6">
        <w:rPr>
          <w:rFonts w:ascii="Times New Roman" w:hAnsi="Times New Roman"/>
          <w:i/>
          <w:iCs/>
          <w:sz w:val="22"/>
          <w:szCs w:val="22"/>
          <w:lang w:val="en-US"/>
        </w:rPr>
        <w:t>supply chain</w:t>
      </w:r>
      <w:r>
        <w:rPr>
          <w:rFonts w:ascii="Times New Roman" w:hAnsi="Times New Roman"/>
          <w:iCs/>
          <w:sz w:val="22"/>
          <w:szCs w:val="22"/>
          <w:lang w:val="en-US"/>
        </w:rPr>
        <w:t xml:space="preserve"> u l-ispejjeż dejjem jiżdiedu għall-konsumaturi lokali, mingħajr ma jintlaħqu l-għanijiet ambjentali ta’ tali strument.  B’mod aktar speċifiku, il-Parliament Malti għandu t-tħassib tiegħu rigward l-piżijiet amministrattivi addizzjonali fuq l-Istat Membru, l-awtoritajiet tal-Istati tal-Port, l-Istat tal-Bandiera u l-kumpaniji li jinsabu fl-Unjoni Ewropea.</w:t>
      </w:r>
    </w:p>
    <w:p w:rsidR="00FE1EC5" w:rsidRPr="00D90CFF" w:rsidRDefault="00FE1EC5" w:rsidP="000B518F">
      <w:pPr>
        <w:spacing w:after="130"/>
        <w:rPr>
          <w:rFonts w:ascii="Times New Roman" w:hAnsi="Times New Roman"/>
          <w:iCs/>
          <w:sz w:val="22"/>
          <w:szCs w:val="22"/>
        </w:rPr>
      </w:pPr>
    </w:p>
    <w:sectPr w:rsidR="00FE1EC5" w:rsidRPr="00D90CFF" w:rsidSect="00351C87">
      <w:headerReference w:type="default" r:id="rId8"/>
      <w:footerReference w:type="default" r:id="rId9"/>
      <w:pgSz w:w="11900" w:h="16840" w:code="9"/>
      <w:pgMar w:top="2520" w:right="1699" w:bottom="1418" w:left="1699" w:header="85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17E9" w:rsidRDefault="002717E9">
      <w:r>
        <w:separator/>
      </w:r>
    </w:p>
  </w:endnote>
  <w:endnote w:type="continuationSeparator" w:id="0">
    <w:p w:rsidR="002717E9" w:rsidRDefault="002717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ornado">
    <w:altName w:val="Courier New"/>
    <w:charset w:val="00"/>
    <w:family w:val="roman"/>
    <w:pitch w:val="variable"/>
    <w:sig w:usb0="00000003" w:usb1="00000000" w:usb2="00000000" w:usb3="00000000" w:csb0="00000001" w:csb1="00000000"/>
  </w:font>
  <w:font w:name="Univers">
    <w:altName w:val="Arial"/>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MS">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Layout w:type="fixed"/>
      <w:tblLook w:val="0000"/>
    </w:tblPr>
    <w:tblGrid>
      <w:gridCol w:w="4395"/>
      <w:gridCol w:w="4155"/>
    </w:tblGrid>
    <w:tr w:rsidR="00D56228">
      <w:tblPrEx>
        <w:tblCellMar>
          <w:top w:w="0" w:type="dxa"/>
          <w:bottom w:w="0" w:type="dxa"/>
        </w:tblCellMar>
      </w:tblPrEx>
      <w:trPr>
        <w:cantSplit/>
      </w:trPr>
      <w:tc>
        <w:tcPr>
          <w:tcW w:w="4395" w:type="dxa"/>
        </w:tcPr>
        <w:p w:rsidR="00D56228" w:rsidRDefault="00D56228">
          <w:pPr>
            <w:pStyle w:val="Footer"/>
            <w:ind w:left="-108"/>
            <w:jc w:val="left"/>
          </w:pPr>
        </w:p>
      </w:tc>
      <w:tc>
        <w:tcPr>
          <w:tcW w:w="4155" w:type="dxa"/>
        </w:tcPr>
        <w:p w:rsidR="00D56228" w:rsidRPr="00EB5DE7" w:rsidRDefault="00D56228">
          <w:pPr>
            <w:pStyle w:val="PageNumber1"/>
            <w:tabs>
              <w:tab w:val="clear" w:pos="4320"/>
              <w:tab w:val="right" w:pos="4148"/>
            </w:tabs>
            <w:ind w:right="-18"/>
            <w:jc w:val="right"/>
            <w:rPr>
              <w:rFonts w:ascii="Times New Roman" w:hAnsi="Times New Roman"/>
              <w:b w:val="0"/>
              <w:sz w:val="22"/>
            </w:rPr>
          </w:pPr>
          <w:r w:rsidRPr="00EB5DE7">
            <w:rPr>
              <w:rFonts w:ascii="Univers" w:hAnsi="Univers"/>
              <w:b w:val="0"/>
              <w:sz w:val="18"/>
            </w:rPr>
            <w:fldChar w:fldCharType="begin"/>
          </w:r>
          <w:r w:rsidRPr="00EB5DE7">
            <w:rPr>
              <w:rFonts w:ascii="Univers" w:hAnsi="Univers"/>
              <w:b w:val="0"/>
              <w:sz w:val="18"/>
            </w:rPr>
            <w:instrText xml:space="preserve">page </w:instrText>
          </w:r>
          <w:r w:rsidRPr="00EB5DE7">
            <w:rPr>
              <w:rFonts w:ascii="Univers" w:hAnsi="Univers"/>
              <w:b w:val="0"/>
              <w:sz w:val="18"/>
            </w:rPr>
            <w:fldChar w:fldCharType="separate"/>
          </w:r>
          <w:r w:rsidR="001E296F">
            <w:rPr>
              <w:rFonts w:ascii="Univers" w:hAnsi="Univers"/>
              <w:b w:val="0"/>
              <w:noProof/>
              <w:sz w:val="18"/>
            </w:rPr>
            <w:t>11</w:t>
          </w:r>
          <w:r w:rsidRPr="00EB5DE7">
            <w:rPr>
              <w:rFonts w:ascii="Univers" w:hAnsi="Univers"/>
              <w:b w:val="0"/>
              <w:sz w:val="18"/>
            </w:rPr>
            <w:fldChar w:fldCharType="end"/>
          </w:r>
        </w:p>
      </w:tc>
    </w:tr>
  </w:tbl>
  <w:p w:rsidR="00D56228" w:rsidRDefault="00D56228">
    <w:pPr>
      <w:pStyle w:val="PageNumber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17E9" w:rsidRDefault="002717E9">
      <w:r>
        <w:separator/>
      </w:r>
    </w:p>
  </w:footnote>
  <w:footnote w:type="continuationSeparator" w:id="0">
    <w:p w:rsidR="002717E9" w:rsidRDefault="002717E9">
      <w:r>
        <w:continuationSeparator/>
      </w:r>
    </w:p>
  </w:footnote>
  <w:footnote w:id="1">
    <w:p w:rsidR="00D56228" w:rsidRPr="001911B0" w:rsidRDefault="00D56228" w:rsidP="001D212D">
      <w:pPr>
        <w:pStyle w:val="FootnoteText"/>
        <w:ind w:left="567" w:hanging="567"/>
      </w:pPr>
      <w:r w:rsidRPr="001911B0">
        <w:rPr>
          <w:rStyle w:val="FootnoteReference"/>
        </w:rPr>
        <w:footnoteRef/>
      </w:r>
      <w:r w:rsidRPr="001911B0">
        <w:t xml:space="preserve"> </w:t>
      </w:r>
      <w:r w:rsidRPr="001911B0">
        <w:rPr>
          <w:lang w:eastAsia="en-GB"/>
        </w:rPr>
        <w:t>Decision 1/CP.16 of the Conference of Parties to the UNFCCC (the "Cancún Agreements").</w:t>
      </w:r>
    </w:p>
  </w:footnote>
  <w:footnote w:id="2">
    <w:p w:rsidR="00D56228" w:rsidRPr="006B3C5C" w:rsidRDefault="00D56228" w:rsidP="001D212D">
      <w:pPr>
        <w:overflowPunct/>
        <w:spacing w:line="240" w:lineRule="auto"/>
        <w:ind w:left="142" w:hanging="142"/>
        <w:jc w:val="left"/>
        <w:textAlignment w:val="auto"/>
        <w:rPr>
          <w:rFonts w:ascii="Times New Roman" w:hAnsi="Times New Roman"/>
          <w:color w:val="auto"/>
          <w:sz w:val="20"/>
          <w:lang w:eastAsia="en-GB"/>
        </w:rPr>
      </w:pPr>
      <w:r w:rsidRPr="001911B0">
        <w:rPr>
          <w:rStyle w:val="FootnoteReference"/>
          <w:rFonts w:ascii="Times New Roman" w:hAnsi="Times New Roman"/>
          <w:sz w:val="20"/>
        </w:rPr>
        <w:footnoteRef/>
      </w:r>
      <w:r>
        <w:rPr>
          <w:rFonts w:ascii="Times New Roman" w:hAnsi="Times New Roman"/>
          <w:sz w:val="20"/>
          <w:lang w:eastAsia="en-GB"/>
        </w:rPr>
        <w:t xml:space="preserve"> </w:t>
      </w:r>
      <w:r w:rsidRPr="006B3C5C">
        <w:rPr>
          <w:rFonts w:ascii="Times New Roman" w:hAnsi="Times New Roman"/>
          <w:sz w:val="20"/>
          <w:lang w:eastAsia="en-GB"/>
        </w:rPr>
        <w:t>Based on the Fourth Assessment Report of the Intergovernmental Panel on Climate Change  (IPCC).</w:t>
      </w:r>
    </w:p>
  </w:footnote>
  <w:footnote w:id="3">
    <w:p w:rsidR="00D56228" w:rsidRPr="006B3C5C" w:rsidRDefault="00D56228" w:rsidP="001D212D">
      <w:pPr>
        <w:pStyle w:val="FootnoteText"/>
        <w:ind w:left="142" w:hanging="142"/>
      </w:pPr>
      <w:r w:rsidRPr="006B3C5C">
        <w:rPr>
          <w:rStyle w:val="FootnoteReference"/>
        </w:rPr>
        <w:footnoteRef/>
      </w:r>
      <w:r w:rsidRPr="006B3C5C">
        <w:t xml:space="preserve"> </w:t>
      </w:r>
      <w:r w:rsidRPr="006B3C5C">
        <w:rPr>
          <w:lang w:eastAsia="en-GB"/>
        </w:rPr>
        <w:t>Conclusions of the European Council of 29/30.10 2009 and European Parliament Resolution of 4.2 2009 (2008/215(INI)).</w:t>
      </w:r>
    </w:p>
  </w:footnote>
  <w:footnote w:id="4">
    <w:p w:rsidR="00D56228" w:rsidRPr="006B3C5C" w:rsidRDefault="00D56228" w:rsidP="001D212D">
      <w:pPr>
        <w:pStyle w:val="FootnoteText"/>
      </w:pPr>
      <w:r w:rsidRPr="006B3C5C">
        <w:rPr>
          <w:rStyle w:val="FootnoteReference"/>
        </w:rPr>
        <w:footnoteRef/>
      </w:r>
      <w:r w:rsidRPr="006B3C5C">
        <w:t xml:space="preserve"> </w:t>
      </w:r>
      <w:r w:rsidRPr="006B3C5C">
        <w:rPr>
          <w:lang w:eastAsia="en-GB"/>
        </w:rPr>
        <w:t>COM (2010) 2020 final.</w:t>
      </w:r>
    </w:p>
  </w:footnote>
  <w:footnote w:id="5">
    <w:p w:rsidR="00D56228" w:rsidRPr="006B3C5C" w:rsidRDefault="00D56228" w:rsidP="001D212D">
      <w:pPr>
        <w:pStyle w:val="FootnoteText"/>
      </w:pPr>
      <w:r w:rsidRPr="006B3C5C">
        <w:rPr>
          <w:rStyle w:val="FootnoteReference"/>
        </w:rPr>
        <w:footnoteRef/>
      </w:r>
      <w:r w:rsidRPr="006B3C5C">
        <w:t xml:space="preserve"> </w:t>
      </w:r>
      <w:r w:rsidRPr="006B3C5C">
        <w:rPr>
          <w:lang w:eastAsia="en-GB"/>
        </w:rPr>
        <w:t>Directive 2003/87/EC and Decision 406/2009/EC</w:t>
      </w:r>
    </w:p>
  </w:footnote>
  <w:footnote w:id="6">
    <w:p w:rsidR="00D56228" w:rsidRPr="006B3C5C" w:rsidRDefault="00D56228" w:rsidP="001D212D">
      <w:pPr>
        <w:pStyle w:val="FootnoteText"/>
      </w:pPr>
      <w:r w:rsidRPr="006B3C5C">
        <w:rPr>
          <w:rStyle w:val="FootnoteReference"/>
        </w:rPr>
        <w:footnoteRef/>
      </w:r>
      <w:r w:rsidRPr="006B3C5C">
        <w:t xml:space="preserve"> </w:t>
      </w:r>
      <w:r w:rsidRPr="006B3C5C">
        <w:rPr>
          <w:lang w:eastAsia="en-GB"/>
        </w:rPr>
        <w:t>COM (2011) 144 final</w:t>
      </w:r>
    </w:p>
  </w:footnote>
  <w:footnote w:id="7">
    <w:p w:rsidR="00D56228" w:rsidRPr="006B3C5C" w:rsidRDefault="00D56228" w:rsidP="001D212D">
      <w:pPr>
        <w:overflowPunct/>
        <w:autoSpaceDE/>
        <w:autoSpaceDN/>
        <w:adjustRightInd/>
        <w:spacing w:line="240" w:lineRule="auto"/>
        <w:jc w:val="left"/>
        <w:textAlignment w:val="auto"/>
        <w:rPr>
          <w:rFonts w:ascii="Arial" w:hAnsi="Arial" w:cs="Arial"/>
          <w:color w:val="000080"/>
          <w:sz w:val="20"/>
          <w:lang w:eastAsia="en-GB"/>
        </w:rPr>
      </w:pPr>
      <w:r w:rsidRPr="006B3C5C">
        <w:rPr>
          <w:rStyle w:val="FootnoteReference"/>
          <w:sz w:val="20"/>
        </w:rPr>
        <w:footnoteRef/>
      </w:r>
      <w:r w:rsidRPr="006B3C5C">
        <w:rPr>
          <w:rFonts w:ascii="Times New Roman" w:hAnsi="Times New Roman"/>
          <w:color w:val="auto"/>
          <w:sz w:val="20"/>
          <w:lang w:eastAsia="en-GB"/>
        </w:rPr>
        <w:t>Revision of MARPOL Annex VI</w:t>
      </w:r>
    </w:p>
    <w:p w:rsidR="00D56228" w:rsidRDefault="00D56228" w:rsidP="001D212D">
      <w:pPr>
        <w:pStyle w:val="FootnoteText"/>
        <w:ind w:left="0" w:firstLine="0"/>
      </w:pPr>
    </w:p>
  </w:footnote>
  <w:footnote w:id="8">
    <w:p w:rsidR="00D56228" w:rsidRDefault="00D56228" w:rsidP="001D212D">
      <w:pPr>
        <w:pStyle w:val="FootnoteText"/>
      </w:pPr>
      <w:r>
        <w:rPr>
          <w:rStyle w:val="FootnoteReference"/>
        </w:rPr>
        <w:footnoteRef/>
      </w:r>
      <w:r>
        <w:t xml:space="preserve"> </w:t>
      </w:r>
      <w:r>
        <w:rPr>
          <w:lang w:eastAsia="en-GB"/>
        </w:rPr>
        <w:t>Recital 2 of the decision n°406/2009/EC and recital 3 of the directive n°2009/29/EC</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CellMar>
        <w:left w:w="80" w:type="dxa"/>
        <w:right w:w="80" w:type="dxa"/>
      </w:tblCellMar>
      <w:tblLook w:val="0000"/>
    </w:tblPr>
    <w:tblGrid>
      <w:gridCol w:w="4360"/>
      <w:gridCol w:w="4270"/>
    </w:tblGrid>
    <w:tr w:rsidR="00D56228">
      <w:tblPrEx>
        <w:tblCellMar>
          <w:top w:w="0" w:type="dxa"/>
          <w:bottom w:w="0" w:type="dxa"/>
        </w:tblCellMar>
      </w:tblPrEx>
      <w:trPr>
        <w:cantSplit/>
      </w:trPr>
      <w:tc>
        <w:tcPr>
          <w:tcW w:w="4360" w:type="dxa"/>
        </w:tcPr>
        <w:p w:rsidR="00D56228" w:rsidRPr="00351C87" w:rsidRDefault="00D56228" w:rsidP="009A0F0C">
          <w:pPr>
            <w:pStyle w:val="Header"/>
            <w:spacing w:line="240" w:lineRule="auto"/>
            <w:jc w:val="left"/>
          </w:pPr>
          <w:r w:rsidRPr="00351C87">
            <w:t>MINISTRY FOR SUSTAINABLE DEVELOPMENT, THE ENVIRONMENT AND CLIMATE CHANGE</w:t>
          </w:r>
        </w:p>
      </w:tc>
      <w:tc>
        <w:tcPr>
          <w:tcW w:w="4270" w:type="dxa"/>
        </w:tcPr>
        <w:p w:rsidR="00D56228" w:rsidRPr="00351C87" w:rsidRDefault="00D56228" w:rsidP="003B339C">
          <w:pPr>
            <w:jc w:val="right"/>
            <w:rPr>
              <w:rFonts w:ascii="Univers" w:hAnsi="Univers"/>
              <w:bCs/>
              <w:sz w:val="18"/>
              <w:szCs w:val="18"/>
            </w:rPr>
          </w:pPr>
          <w:r w:rsidRPr="00351C87">
            <w:rPr>
              <w:rFonts w:ascii="Univers" w:hAnsi="Univers"/>
              <w:bCs/>
              <w:sz w:val="18"/>
              <w:szCs w:val="18"/>
            </w:rPr>
            <w:t xml:space="preserve">Memorandum on a Proposal for a Regulation of the European Parliament and of the Council </w:t>
          </w:r>
        </w:p>
        <w:p w:rsidR="00D56228" w:rsidRPr="00351C87" w:rsidRDefault="00D56228" w:rsidP="003B339C">
          <w:pPr>
            <w:jc w:val="right"/>
            <w:rPr>
              <w:rFonts w:ascii="Univers" w:hAnsi="Univers"/>
              <w:bCs/>
              <w:sz w:val="18"/>
              <w:szCs w:val="18"/>
            </w:rPr>
          </w:pPr>
          <w:r w:rsidRPr="00351C87">
            <w:rPr>
              <w:rFonts w:ascii="Univers" w:hAnsi="Univers"/>
              <w:bCs/>
              <w:sz w:val="18"/>
              <w:szCs w:val="18"/>
            </w:rPr>
            <w:t>on the monitoring, reporting and verification of carbon dioxide emissions from maritime</w:t>
          </w:r>
        </w:p>
        <w:p w:rsidR="00D56228" w:rsidRPr="00351C87" w:rsidRDefault="00D56228" w:rsidP="003B339C">
          <w:pPr>
            <w:jc w:val="right"/>
            <w:rPr>
              <w:rFonts w:ascii="Univers" w:hAnsi="Univers"/>
              <w:bCs/>
              <w:color w:val="000080"/>
              <w:sz w:val="18"/>
              <w:szCs w:val="18"/>
            </w:rPr>
          </w:pPr>
          <w:r w:rsidRPr="00351C87">
            <w:rPr>
              <w:rFonts w:ascii="Univers" w:hAnsi="Univers"/>
              <w:sz w:val="18"/>
              <w:szCs w:val="18"/>
            </w:rPr>
            <w:t xml:space="preserve">transport and amending Regulation (EU) No 525/2013 </w:t>
          </w:r>
        </w:p>
        <w:p w:rsidR="00D56228" w:rsidRPr="00351C87" w:rsidRDefault="00D56228">
          <w:pPr>
            <w:pStyle w:val="Header"/>
            <w:spacing w:line="240" w:lineRule="auto"/>
            <w:jc w:val="right"/>
            <w:rPr>
              <w:szCs w:val="18"/>
            </w:rPr>
          </w:pPr>
          <w:r w:rsidRPr="00351C87">
            <w:rPr>
              <w:szCs w:val="18"/>
            </w:rPr>
            <w:t xml:space="preserve"> (COM (2013) 480 final)</w:t>
          </w:r>
        </w:p>
        <w:p w:rsidR="00D56228" w:rsidRPr="00351C87" w:rsidRDefault="00B44A3B">
          <w:pPr>
            <w:pStyle w:val="Header"/>
            <w:spacing w:line="240" w:lineRule="auto"/>
            <w:jc w:val="right"/>
          </w:pPr>
          <w:r>
            <w:rPr>
              <w:szCs w:val="18"/>
            </w:rPr>
            <w:t xml:space="preserve">19 </w:t>
          </w:r>
          <w:r w:rsidR="00D56228" w:rsidRPr="00351C87">
            <w:rPr>
              <w:szCs w:val="18"/>
            </w:rPr>
            <w:t>September 2013</w:t>
          </w:r>
        </w:p>
      </w:tc>
    </w:tr>
  </w:tbl>
  <w:p w:rsidR="00D56228" w:rsidRDefault="00D5622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40743"/>
    <w:multiLevelType w:val="multilevel"/>
    <w:tmpl w:val="76A4EB44"/>
    <w:lvl w:ilvl="0">
      <w:start w:val="4"/>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47"/>
        </w:tabs>
        <w:ind w:left="-847" w:hanging="855"/>
      </w:pPr>
      <w:rPr>
        <w:rFonts w:hint="default"/>
      </w:rPr>
    </w:lvl>
    <w:lvl w:ilvl="3">
      <w:start w:val="1"/>
      <w:numFmt w:val="decimal"/>
      <w:lvlText w:val="%1.%2.%3.%4"/>
      <w:lvlJc w:val="left"/>
      <w:pPr>
        <w:tabs>
          <w:tab w:val="num" w:pos="-1698"/>
        </w:tabs>
        <w:ind w:left="-1698" w:hanging="855"/>
      </w:pPr>
      <w:rPr>
        <w:rFonts w:hint="default"/>
      </w:rPr>
    </w:lvl>
    <w:lvl w:ilvl="4">
      <w:start w:val="1"/>
      <w:numFmt w:val="decimal"/>
      <w:lvlText w:val="%1.%2.%3.%4.%5"/>
      <w:lvlJc w:val="left"/>
      <w:pPr>
        <w:tabs>
          <w:tab w:val="num" w:pos="-2324"/>
        </w:tabs>
        <w:ind w:left="-2324" w:hanging="1080"/>
      </w:pPr>
      <w:rPr>
        <w:rFonts w:hint="default"/>
      </w:rPr>
    </w:lvl>
    <w:lvl w:ilvl="5">
      <w:start w:val="1"/>
      <w:numFmt w:val="decimal"/>
      <w:lvlText w:val="%1.%2.%3.%4.%5.%6"/>
      <w:lvlJc w:val="left"/>
      <w:pPr>
        <w:tabs>
          <w:tab w:val="num" w:pos="-3175"/>
        </w:tabs>
        <w:ind w:left="-3175" w:hanging="1080"/>
      </w:pPr>
      <w:rPr>
        <w:rFonts w:hint="default"/>
      </w:rPr>
    </w:lvl>
    <w:lvl w:ilvl="6">
      <w:start w:val="1"/>
      <w:numFmt w:val="decimal"/>
      <w:lvlText w:val="%1.%2.%3.%4.%5.%6.%7"/>
      <w:lvlJc w:val="left"/>
      <w:pPr>
        <w:tabs>
          <w:tab w:val="num" w:pos="-3666"/>
        </w:tabs>
        <w:ind w:left="-3666" w:hanging="1440"/>
      </w:pPr>
      <w:rPr>
        <w:rFonts w:hint="default"/>
      </w:rPr>
    </w:lvl>
    <w:lvl w:ilvl="7">
      <w:start w:val="1"/>
      <w:numFmt w:val="decimal"/>
      <w:lvlText w:val="%1.%2.%3.%4.%5.%6.%7.%8"/>
      <w:lvlJc w:val="left"/>
      <w:pPr>
        <w:tabs>
          <w:tab w:val="num" w:pos="-4517"/>
        </w:tabs>
        <w:ind w:left="-4517" w:hanging="1440"/>
      </w:pPr>
      <w:rPr>
        <w:rFonts w:hint="default"/>
      </w:rPr>
    </w:lvl>
    <w:lvl w:ilvl="8">
      <w:start w:val="1"/>
      <w:numFmt w:val="decimal"/>
      <w:lvlText w:val="%1.%2.%3.%4.%5.%6.%7.%8.%9"/>
      <w:lvlJc w:val="left"/>
      <w:pPr>
        <w:tabs>
          <w:tab w:val="num" w:pos="-5368"/>
        </w:tabs>
        <w:ind w:left="-5368" w:hanging="1440"/>
      </w:pPr>
      <w:rPr>
        <w:rFonts w:hint="default"/>
      </w:rPr>
    </w:lvl>
  </w:abstractNum>
  <w:abstractNum w:abstractNumId="1">
    <w:nsid w:val="01387DF0"/>
    <w:multiLevelType w:val="hybridMultilevel"/>
    <w:tmpl w:val="1462574A"/>
    <w:lvl w:ilvl="0">
      <w:start w:val="1"/>
      <w:numFmt w:val="decimal"/>
      <w:lvlText w:val="%1"/>
      <w:lvlJc w:val="left"/>
      <w:pPr>
        <w:tabs>
          <w:tab w:val="num" w:pos="4"/>
        </w:tabs>
        <w:ind w:left="4" w:hanging="855"/>
      </w:pPr>
      <w:rPr>
        <w:rFonts w:hint="default"/>
      </w:rPr>
    </w:lvl>
    <w:lvl w:ilvl="1" w:tentative="1">
      <w:start w:val="1"/>
      <w:numFmt w:val="lowerLetter"/>
      <w:lvlText w:val="%2."/>
      <w:lvlJc w:val="left"/>
      <w:pPr>
        <w:tabs>
          <w:tab w:val="num" w:pos="229"/>
        </w:tabs>
        <w:ind w:left="229" w:hanging="360"/>
      </w:pPr>
    </w:lvl>
    <w:lvl w:ilvl="2" w:tentative="1">
      <w:start w:val="1"/>
      <w:numFmt w:val="lowerRoman"/>
      <w:lvlText w:val="%3."/>
      <w:lvlJc w:val="right"/>
      <w:pPr>
        <w:tabs>
          <w:tab w:val="num" w:pos="949"/>
        </w:tabs>
        <w:ind w:left="949" w:hanging="180"/>
      </w:pPr>
    </w:lvl>
    <w:lvl w:ilvl="3" w:tentative="1">
      <w:start w:val="1"/>
      <w:numFmt w:val="decimal"/>
      <w:lvlText w:val="%4."/>
      <w:lvlJc w:val="left"/>
      <w:pPr>
        <w:tabs>
          <w:tab w:val="num" w:pos="1669"/>
        </w:tabs>
        <w:ind w:left="1669" w:hanging="360"/>
      </w:pPr>
    </w:lvl>
    <w:lvl w:ilvl="4" w:tentative="1">
      <w:start w:val="1"/>
      <w:numFmt w:val="lowerLetter"/>
      <w:lvlText w:val="%5."/>
      <w:lvlJc w:val="left"/>
      <w:pPr>
        <w:tabs>
          <w:tab w:val="num" w:pos="2389"/>
        </w:tabs>
        <w:ind w:left="2389" w:hanging="360"/>
      </w:pPr>
    </w:lvl>
    <w:lvl w:ilvl="5" w:tentative="1">
      <w:start w:val="1"/>
      <w:numFmt w:val="lowerRoman"/>
      <w:lvlText w:val="%6."/>
      <w:lvlJc w:val="right"/>
      <w:pPr>
        <w:tabs>
          <w:tab w:val="num" w:pos="3109"/>
        </w:tabs>
        <w:ind w:left="3109" w:hanging="180"/>
      </w:pPr>
    </w:lvl>
    <w:lvl w:ilvl="6" w:tentative="1">
      <w:start w:val="1"/>
      <w:numFmt w:val="decimal"/>
      <w:lvlText w:val="%7."/>
      <w:lvlJc w:val="left"/>
      <w:pPr>
        <w:tabs>
          <w:tab w:val="num" w:pos="3829"/>
        </w:tabs>
        <w:ind w:left="3829" w:hanging="360"/>
      </w:pPr>
    </w:lvl>
    <w:lvl w:ilvl="7" w:tentative="1">
      <w:start w:val="1"/>
      <w:numFmt w:val="lowerLetter"/>
      <w:lvlText w:val="%8."/>
      <w:lvlJc w:val="left"/>
      <w:pPr>
        <w:tabs>
          <w:tab w:val="num" w:pos="4549"/>
        </w:tabs>
        <w:ind w:left="4549" w:hanging="360"/>
      </w:pPr>
    </w:lvl>
    <w:lvl w:ilvl="8" w:tentative="1">
      <w:start w:val="1"/>
      <w:numFmt w:val="lowerRoman"/>
      <w:lvlText w:val="%9."/>
      <w:lvlJc w:val="right"/>
      <w:pPr>
        <w:tabs>
          <w:tab w:val="num" w:pos="5269"/>
        </w:tabs>
        <w:ind w:left="5269" w:hanging="180"/>
      </w:pPr>
    </w:lvl>
  </w:abstractNum>
  <w:abstractNum w:abstractNumId="2">
    <w:nsid w:val="06E93F1E"/>
    <w:multiLevelType w:val="multilevel"/>
    <w:tmpl w:val="59B875EE"/>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490"/>
        </w:tabs>
        <w:ind w:left="-490" w:hanging="360"/>
      </w:pPr>
      <w:rPr>
        <w:rFonts w:hint="default"/>
      </w:rPr>
    </w:lvl>
    <w:lvl w:ilvl="2">
      <w:start w:val="1"/>
      <w:numFmt w:val="decimal"/>
      <w:lvlText w:val="%1.%2.%3"/>
      <w:lvlJc w:val="left"/>
      <w:pPr>
        <w:tabs>
          <w:tab w:val="num" w:pos="-980"/>
        </w:tabs>
        <w:ind w:left="-980" w:hanging="720"/>
      </w:pPr>
      <w:rPr>
        <w:rFonts w:hint="default"/>
      </w:rPr>
    </w:lvl>
    <w:lvl w:ilvl="3">
      <w:start w:val="1"/>
      <w:numFmt w:val="decimal"/>
      <w:lvlText w:val="%1.%2.%3.%4"/>
      <w:lvlJc w:val="left"/>
      <w:pPr>
        <w:tabs>
          <w:tab w:val="num" w:pos="-1830"/>
        </w:tabs>
        <w:ind w:left="-1830" w:hanging="720"/>
      </w:pPr>
      <w:rPr>
        <w:rFonts w:hint="default"/>
      </w:rPr>
    </w:lvl>
    <w:lvl w:ilvl="4">
      <w:start w:val="1"/>
      <w:numFmt w:val="decimal"/>
      <w:lvlText w:val="%1.%2.%3.%4.%5"/>
      <w:lvlJc w:val="left"/>
      <w:pPr>
        <w:tabs>
          <w:tab w:val="num" w:pos="-2320"/>
        </w:tabs>
        <w:ind w:left="-2320" w:hanging="1080"/>
      </w:pPr>
      <w:rPr>
        <w:rFonts w:hint="default"/>
      </w:rPr>
    </w:lvl>
    <w:lvl w:ilvl="5">
      <w:start w:val="1"/>
      <w:numFmt w:val="decimal"/>
      <w:lvlText w:val="%1.%2.%3.%4.%5.%6"/>
      <w:lvlJc w:val="left"/>
      <w:pPr>
        <w:tabs>
          <w:tab w:val="num" w:pos="-3170"/>
        </w:tabs>
        <w:ind w:left="-3170" w:hanging="1080"/>
      </w:pPr>
      <w:rPr>
        <w:rFonts w:hint="default"/>
      </w:rPr>
    </w:lvl>
    <w:lvl w:ilvl="6">
      <w:start w:val="1"/>
      <w:numFmt w:val="decimal"/>
      <w:lvlText w:val="%1.%2.%3.%4.%5.%6.%7"/>
      <w:lvlJc w:val="left"/>
      <w:pPr>
        <w:tabs>
          <w:tab w:val="num" w:pos="-3660"/>
        </w:tabs>
        <w:ind w:left="-3660" w:hanging="1440"/>
      </w:pPr>
      <w:rPr>
        <w:rFonts w:hint="default"/>
      </w:rPr>
    </w:lvl>
    <w:lvl w:ilvl="7">
      <w:start w:val="1"/>
      <w:numFmt w:val="decimal"/>
      <w:lvlText w:val="%1.%2.%3.%4.%5.%6.%7.%8"/>
      <w:lvlJc w:val="left"/>
      <w:pPr>
        <w:tabs>
          <w:tab w:val="num" w:pos="-4510"/>
        </w:tabs>
        <w:ind w:left="-4510" w:hanging="1440"/>
      </w:pPr>
      <w:rPr>
        <w:rFonts w:hint="default"/>
      </w:rPr>
    </w:lvl>
    <w:lvl w:ilvl="8">
      <w:start w:val="1"/>
      <w:numFmt w:val="decimal"/>
      <w:lvlText w:val="%1.%2.%3.%4.%5.%6.%7.%8.%9"/>
      <w:lvlJc w:val="left"/>
      <w:pPr>
        <w:tabs>
          <w:tab w:val="num" w:pos="-5360"/>
        </w:tabs>
        <w:ind w:left="-5360" w:hanging="1440"/>
      </w:pPr>
      <w:rPr>
        <w:rFonts w:hint="default"/>
      </w:rPr>
    </w:lvl>
  </w:abstractNum>
  <w:abstractNum w:abstractNumId="3">
    <w:nsid w:val="0C705B77"/>
    <w:multiLevelType w:val="multilevel"/>
    <w:tmpl w:val="4E94029A"/>
    <w:lvl w:ilvl="0">
      <w:start w:val="6"/>
      <w:numFmt w:val="decimal"/>
      <w:lvlText w:val="%1"/>
      <w:lvlJc w:val="left"/>
      <w:pPr>
        <w:tabs>
          <w:tab w:val="num" w:pos="855"/>
        </w:tabs>
        <w:ind w:left="855" w:hanging="855"/>
      </w:pPr>
      <w:rPr>
        <w:rFonts w:hint="default"/>
      </w:rPr>
    </w:lvl>
    <w:lvl w:ilvl="1">
      <w:start w:val="6"/>
      <w:numFmt w:val="decimal"/>
      <w:lvlText w:val="%1.%2"/>
      <w:lvlJc w:val="left"/>
      <w:pPr>
        <w:tabs>
          <w:tab w:val="num" w:pos="4"/>
        </w:tabs>
        <w:ind w:left="4" w:hanging="855"/>
      </w:pPr>
      <w:rPr>
        <w:rFonts w:hint="default"/>
      </w:rPr>
    </w:lvl>
    <w:lvl w:ilvl="2">
      <w:start w:val="1"/>
      <w:numFmt w:val="decimal"/>
      <w:lvlText w:val="%1.%2.%3"/>
      <w:lvlJc w:val="left"/>
      <w:pPr>
        <w:tabs>
          <w:tab w:val="num" w:pos="-847"/>
        </w:tabs>
        <w:ind w:left="-847" w:hanging="855"/>
      </w:pPr>
      <w:rPr>
        <w:rFonts w:hint="default"/>
      </w:rPr>
    </w:lvl>
    <w:lvl w:ilvl="3">
      <w:start w:val="1"/>
      <w:numFmt w:val="decimal"/>
      <w:lvlText w:val="%1.%2.%3.%4"/>
      <w:lvlJc w:val="left"/>
      <w:pPr>
        <w:tabs>
          <w:tab w:val="num" w:pos="-1698"/>
        </w:tabs>
        <w:ind w:left="-1698" w:hanging="855"/>
      </w:pPr>
      <w:rPr>
        <w:rFonts w:hint="default"/>
      </w:rPr>
    </w:lvl>
    <w:lvl w:ilvl="4">
      <w:start w:val="1"/>
      <w:numFmt w:val="decimal"/>
      <w:lvlText w:val="%1.%2.%3.%4.%5"/>
      <w:lvlJc w:val="left"/>
      <w:pPr>
        <w:tabs>
          <w:tab w:val="num" w:pos="-2324"/>
        </w:tabs>
        <w:ind w:left="-2324" w:hanging="1080"/>
      </w:pPr>
      <w:rPr>
        <w:rFonts w:hint="default"/>
      </w:rPr>
    </w:lvl>
    <w:lvl w:ilvl="5">
      <w:start w:val="1"/>
      <w:numFmt w:val="decimal"/>
      <w:lvlText w:val="%1.%2.%3.%4.%5.%6"/>
      <w:lvlJc w:val="left"/>
      <w:pPr>
        <w:tabs>
          <w:tab w:val="num" w:pos="-3175"/>
        </w:tabs>
        <w:ind w:left="-3175" w:hanging="1080"/>
      </w:pPr>
      <w:rPr>
        <w:rFonts w:hint="default"/>
      </w:rPr>
    </w:lvl>
    <w:lvl w:ilvl="6">
      <w:start w:val="1"/>
      <w:numFmt w:val="decimal"/>
      <w:lvlText w:val="%1.%2.%3.%4.%5.%6.%7"/>
      <w:lvlJc w:val="left"/>
      <w:pPr>
        <w:tabs>
          <w:tab w:val="num" w:pos="-3666"/>
        </w:tabs>
        <w:ind w:left="-3666" w:hanging="1440"/>
      </w:pPr>
      <w:rPr>
        <w:rFonts w:hint="default"/>
      </w:rPr>
    </w:lvl>
    <w:lvl w:ilvl="7">
      <w:start w:val="1"/>
      <w:numFmt w:val="decimal"/>
      <w:lvlText w:val="%1.%2.%3.%4.%5.%6.%7.%8"/>
      <w:lvlJc w:val="left"/>
      <w:pPr>
        <w:tabs>
          <w:tab w:val="num" w:pos="-4517"/>
        </w:tabs>
        <w:ind w:left="-4517" w:hanging="1440"/>
      </w:pPr>
      <w:rPr>
        <w:rFonts w:hint="default"/>
      </w:rPr>
    </w:lvl>
    <w:lvl w:ilvl="8">
      <w:start w:val="1"/>
      <w:numFmt w:val="decimal"/>
      <w:lvlText w:val="%1.%2.%3.%4.%5.%6.%7.%8.%9"/>
      <w:lvlJc w:val="left"/>
      <w:pPr>
        <w:tabs>
          <w:tab w:val="num" w:pos="-5368"/>
        </w:tabs>
        <w:ind w:left="-5368" w:hanging="1440"/>
      </w:pPr>
      <w:rPr>
        <w:rFonts w:hint="default"/>
      </w:rPr>
    </w:lvl>
  </w:abstractNum>
  <w:abstractNum w:abstractNumId="4">
    <w:nsid w:val="0CF01591"/>
    <w:multiLevelType w:val="hybridMultilevel"/>
    <w:tmpl w:val="FFE6BF1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11BF7A16"/>
    <w:multiLevelType w:val="hybridMultilevel"/>
    <w:tmpl w:val="C64E2644"/>
    <w:lvl w:ilvl="0" w:tplc="04090001">
      <w:start w:val="1"/>
      <w:numFmt w:val="bullet"/>
      <w:lvlText w:val=""/>
      <w:lvlJc w:val="left"/>
      <w:pPr>
        <w:ind w:left="722" w:hanging="360"/>
      </w:pPr>
      <w:rPr>
        <w:rFonts w:ascii="Symbol" w:hAnsi="Symbol" w:hint="default"/>
      </w:rPr>
    </w:lvl>
    <w:lvl w:ilvl="1" w:tplc="04090003">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6">
    <w:nsid w:val="147F7BB3"/>
    <w:multiLevelType w:val="multilevel"/>
    <w:tmpl w:val="9C0ADB48"/>
    <w:lvl w:ilvl="0">
      <w:start w:val="4"/>
      <w:numFmt w:val="decimal"/>
      <w:lvlText w:val="%1"/>
      <w:lvlJc w:val="left"/>
      <w:pPr>
        <w:tabs>
          <w:tab w:val="num" w:pos="855"/>
        </w:tabs>
        <w:ind w:left="855" w:hanging="855"/>
      </w:pPr>
      <w:rPr>
        <w:rFonts w:hint="default"/>
      </w:rPr>
    </w:lvl>
    <w:lvl w:ilvl="1">
      <w:start w:val="5"/>
      <w:numFmt w:val="decimal"/>
      <w:lvlText w:val="%1.%2"/>
      <w:lvlJc w:val="left"/>
      <w:pPr>
        <w:tabs>
          <w:tab w:val="num" w:pos="4"/>
        </w:tabs>
        <w:ind w:left="4" w:hanging="855"/>
      </w:pPr>
      <w:rPr>
        <w:rFonts w:hint="default"/>
      </w:rPr>
    </w:lvl>
    <w:lvl w:ilvl="2">
      <w:start w:val="1"/>
      <w:numFmt w:val="decimal"/>
      <w:lvlText w:val="%1.%2.%3"/>
      <w:lvlJc w:val="left"/>
      <w:pPr>
        <w:tabs>
          <w:tab w:val="num" w:pos="-847"/>
        </w:tabs>
        <w:ind w:left="-847" w:hanging="855"/>
      </w:pPr>
      <w:rPr>
        <w:rFonts w:hint="default"/>
      </w:rPr>
    </w:lvl>
    <w:lvl w:ilvl="3">
      <w:start w:val="1"/>
      <w:numFmt w:val="decimal"/>
      <w:lvlText w:val="%1.%2.%3.%4"/>
      <w:lvlJc w:val="left"/>
      <w:pPr>
        <w:tabs>
          <w:tab w:val="num" w:pos="-1698"/>
        </w:tabs>
        <w:ind w:left="-1698" w:hanging="855"/>
      </w:pPr>
      <w:rPr>
        <w:rFonts w:hint="default"/>
      </w:rPr>
    </w:lvl>
    <w:lvl w:ilvl="4">
      <w:start w:val="1"/>
      <w:numFmt w:val="decimal"/>
      <w:lvlText w:val="%1.%2.%3.%4.%5"/>
      <w:lvlJc w:val="left"/>
      <w:pPr>
        <w:tabs>
          <w:tab w:val="num" w:pos="-2324"/>
        </w:tabs>
        <w:ind w:left="-2324" w:hanging="1080"/>
      </w:pPr>
      <w:rPr>
        <w:rFonts w:hint="default"/>
      </w:rPr>
    </w:lvl>
    <w:lvl w:ilvl="5">
      <w:start w:val="1"/>
      <w:numFmt w:val="decimal"/>
      <w:lvlText w:val="%1.%2.%3.%4.%5.%6"/>
      <w:lvlJc w:val="left"/>
      <w:pPr>
        <w:tabs>
          <w:tab w:val="num" w:pos="-3175"/>
        </w:tabs>
        <w:ind w:left="-3175" w:hanging="1080"/>
      </w:pPr>
      <w:rPr>
        <w:rFonts w:hint="default"/>
      </w:rPr>
    </w:lvl>
    <w:lvl w:ilvl="6">
      <w:start w:val="1"/>
      <w:numFmt w:val="decimal"/>
      <w:lvlText w:val="%1.%2.%3.%4.%5.%6.%7"/>
      <w:lvlJc w:val="left"/>
      <w:pPr>
        <w:tabs>
          <w:tab w:val="num" w:pos="-3666"/>
        </w:tabs>
        <w:ind w:left="-3666" w:hanging="1440"/>
      </w:pPr>
      <w:rPr>
        <w:rFonts w:hint="default"/>
      </w:rPr>
    </w:lvl>
    <w:lvl w:ilvl="7">
      <w:start w:val="1"/>
      <w:numFmt w:val="decimal"/>
      <w:lvlText w:val="%1.%2.%3.%4.%5.%6.%7.%8"/>
      <w:lvlJc w:val="left"/>
      <w:pPr>
        <w:tabs>
          <w:tab w:val="num" w:pos="-4517"/>
        </w:tabs>
        <w:ind w:left="-4517" w:hanging="1440"/>
      </w:pPr>
      <w:rPr>
        <w:rFonts w:hint="default"/>
      </w:rPr>
    </w:lvl>
    <w:lvl w:ilvl="8">
      <w:start w:val="1"/>
      <w:numFmt w:val="decimal"/>
      <w:lvlText w:val="%1.%2.%3.%4.%5.%6.%7.%8.%9"/>
      <w:lvlJc w:val="left"/>
      <w:pPr>
        <w:tabs>
          <w:tab w:val="num" w:pos="-5368"/>
        </w:tabs>
        <w:ind w:left="-5368" w:hanging="1440"/>
      </w:pPr>
      <w:rPr>
        <w:rFonts w:hint="default"/>
      </w:rPr>
    </w:lvl>
  </w:abstractNum>
  <w:abstractNum w:abstractNumId="7">
    <w:nsid w:val="17107C8D"/>
    <w:multiLevelType w:val="multilevel"/>
    <w:tmpl w:val="1932D58A"/>
    <w:lvl w:ilvl="0">
      <w:start w:val="2"/>
      <w:numFmt w:val="decimal"/>
      <w:lvlText w:val="%1"/>
      <w:lvlJc w:val="left"/>
      <w:pPr>
        <w:tabs>
          <w:tab w:val="num" w:pos="855"/>
        </w:tabs>
        <w:ind w:left="855" w:hanging="855"/>
      </w:pPr>
      <w:rPr>
        <w:rFonts w:hint="default"/>
      </w:rPr>
    </w:lvl>
    <w:lvl w:ilvl="1">
      <w:start w:val="1"/>
      <w:numFmt w:val="decimal"/>
      <w:lvlText w:val="%1.%2"/>
      <w:lvlJc w:val="left"/>
      <w:pPr>
        <w:tabs>
          <w:tab w:val="num" w:pos="4"/>
        </w:tabs>
        <w:ind w:left="4" w:hanging="855"/>
      </w:pPr>
      <w:rPr>
        <w:rFonts w:hint="default"/>
      </w:rPr>
    </w:lvl>
    <w:lvl w:ilvl="2">
      <w:start w:val="1"/>
      <w:numFmt w:val="decimal"/>
      <w:lvlText w:val="%1.%2.%3"/>
      <w:lvlJc w:val="left"/>
      <w:pPr>
        <w:tabs>
          <w:tab w:val="num" w:pos="-847"/>
        </w:tabs>
        <w:ind w:left="-847" w:hanging="855"/>
      </w:pPr>
      <w:rPr>
        <w:rFonts w:hint="default"/>
      </w:rPr>
    </w:lvl>
    <w:lvl w:ilvl="3">
      <w:start w:val="1"/>
      <w:numFmt w:val="decimal"/>
      <w:lvlText w:val="%1.%2.%3.%4"/>
      <w:lvlJc w:val="left"/>
      <w:pPr>
        <w:tabs>
          <w:tab w:val="num" w:pos="-1698"/>
        </w:tabs>
        <w:ind w:left="-1698" w:hanging="855"/>
      </w:pPr>
      <w:rPr>
        <w:rFonts w:hint="default"/>
      </w:rPr>
    </w:lvl>
    <w:lvl w:ilvl="4">
      <w:start w:val="1"/>
      <w:numFmt w:val="decimal"/>
      <w:lvlText w:val="%1.%2.%3.%4.%5"/>
      <w:lvlJc w:val="left"/>
      <w:pPr>
        <w:tabs>
          <w:tab w:val="num" w:pos="-2324"/>
        </w:tabs>
        <w:ind w:left="-2324" w:hanging="1080"/>
      </w:pPr>
      <w:rPr>
        <w:rFonts w:hint="default"/>
      </w:rPr>
    </w:lvl>
    <w:lvl w:ilvl="5">
      <w:start w:val="1"/>
      <w:numFmt w:val="decimal"/>
      <w:lvlText w:val="%1.%2.%3.%4.%5.%6"/>
      <w:lvlJc w:val="left"/>
      <w:pPr>
        <w:tabs>
          <w:tab w:val="num" w:pos="-3175"/>
        </w:tabs>
        <w:ind w:left="-3175" w:hanging="1080"/>
      </w:pPr>
      <w:rPr>
        <w:rFonts w:hint="default"/>
      </w:rPr>
    </w:lvl>
    <w:lvl w:ilvl="6">
      <w:start w:val="1"/>
      <w:numFmt w:val="decimal"/>
      <w:lvlText w:val="%1.%2.%3.%4.%5.%6.%7"/>
      <w:lvlJc w:val="left"/>
      <w:pPr>
        <w:tabs>
          <w:tab w:val="num" w:pos="-3666"/>
        </w:tabs>
        <w:ind w:left="-3666" w:hanging="1440"/>
      </w:pPr>
      <w:rPr>
        <w:rFonts w:hint="default"/>
      </w:rPr>
    </w:lvl>
    <w:lvl w:ilvl="7">
      <w:start w:val="1"/>
      <w:numFmt w:val="decimal"/>
      <w:lvlText w:val="%1.%2.%3.%4.%5.%6.%7.%8"/>
      <w:lvlJc w:val="left"/>
      <w:pPr>
        <w:tabs>
          <w:tab w:val="num" w:pos="-4517"/>
        </w:tabs>
        <w:ind w:left="-4517" w:hanging="1440"/>
      </w:pPr>
      <w:rPr>
        <w:rFonts w:hint="default"/>
      </w:rPr>
    </w:lvl>
    <w:lvl w:ilvl="8">
      <w:start w:val="1"/>
      <w:numFmt w:val="decimal"/>
      <w:lvlText w:val="%1.%2.%3.%4.%5.%6.%7.%8.%9"/>
      <w:lvlJc w:val="left"/>
      <w:pPr>
        <w:tabs>
          <w:tab w:val="num" w:pos="-5368"/>
        </w:tabs>
        <w:ind w:left="-5368" w:hanging="1440"/>
      </w:pPr>
      <w:rPr>
        <w:rFonts w:hint="default"/>
      </w:rPr>
    </w:lvl>
  </w:abstractNum>
  <w:abstractNum w:abstractNumId="8">
    <w:nsid w:val="1AB94E56"/>
    <w:multiLevelType w:val="hybridMultilevel"/>
    <w:tmpl w:val="9280DF1E"/>
    <w:lvl w:ilvl="0" w:tplc="1F2E869C">
      <w:start w:val="3"/>
      <w:numFmt w:val="bullet"/>
      <w:lvlText w:val="–"/>
      <w:lvlJc w:val="left"/>
      <w:pPr>
        <w:tabs>
          <w:tab w:val="num" w:pos="720"/>
        </w:tabs>
        <w:ind w:left="720" w:hanging="360"/>
      </w:pPr>
      <w:rPr>
        <w:rFonts w:ascii="Times New Roman" w:eastAsia="Times New Roman" w:hAnsi="Times New Roman" w:cs="Times New Roman" w:hint="default"/>
        <w:color w:val="00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21E758D3"/>
    <w:multiLevelType w:val="multilevel"/>
    <w:tmpl w:val="49EEBD2E"/>
    <w:lvl w:ilvl="0">
      <w:start w:val="1"/>
      <w:numFmt w:val="decimal"/>
      <w:lvlText w:val="%1"/>
      <w:lvlJc w:val="left"/>
      <w:pPr>
        <w:tabs>
          <w:tab w:val="num" w:pos="795"/>
        </w:tabs>
        <w:ind w:left="795" w:hanging="795"/>
      </w:pPr>
      <w:rPr>
        <w:rFonts w:hint="default"/>
      </w:rPr>
    </w:lvl>
    <w:lvl w:ilvl="1">
      <w:start w:val="4"/>
      <w:numFmt w:val="decimal"/>
      <w:lvlText w:val="%1.%2"/>
      <w:lvlJc w:val="left"/>
      <w:pPr>
        <w:tabs>
          <w:tab w:val="num" w:pos="-56"/>
        </w:tabs>
        <w:ind w:left="-56" w:hanging="795"/>
      </w:pPr>
      <w:rPr>
        <w:rFonts w:hint="default"/>
      </w:rPr>
    </w:lvl>
    <w:lvl w:ilvl="2">
      <w:start w:val="1"/>
      <w:numFmt w:val="decimal"/>
      <w:lvlText w:val="%1.%2.%3"/>
      <w:lvlJc w:val="left"/>
      <w:pPr>
        <w:tabs>
          <w:tab w:val="num" w:pos="-907"/>
        </w:tabs>
        <w:ind w:left="-907" w:hanging="795"/>
      </w:pPr>
      <w:rPr>
        <w:rFonts w:hint="default"/>
      </w:rPr>
    </w:lvl>
    <w:lvl w:ilvl="3">
      <w:start w:val="1"/>
      <w:numFmt w:val="decimal"/>
      <w:lvlText w:val="%1.%2.%3.%4"/>
      <w:lvlJc w:val="left"/>
      <w:pPr>
        <w:tabs>
          <w:tab w:val="num" w:pos="-1758"/>
        </w:tabs>
        <w:ind w:left="-1758" w:hanging="795"/>
      </w:pPr>
      <w:rPr>
        <w:rFonts w:hint="default"/>
      </w:rPr>
    </w:lvl>
    <w:lvl w:ilvl="4">
      <w:start w:val="1"/>
      <w:numFmt w:val="decimal"/>
      <w:lvlText w:val="%1.%2.%3.%4.%5"/>
      <w:lvlJc w:val="left"/>
      <w:pPr>
        <w:tabs>
          <w:tab w:val="num" w:pos="-2324"/>
        </w:tabs>
        <w:ind w:left="-2324" w:hanging="1080"/>
      </w:pPr>
      <w:rPr>
        <w:rFonts w:hint="default"/>
      </w:rPr>
    </w:lvl>
    <w:lvl w:ilvl="5">
      <w:start w:val="1"/>
      <w:numFmt w:val="decimal"/>
      <w:lvlText w:val="%1.%2.%3.%4.%5.%6"/>
      <w:lvlJc w:val="left"/>
      <w:pPr>
        <w:tabs>
          <w:tab w:val="num" w:pos="-3175"/>
        </w:tabs>
        <w:ind w:left="-3175" w:hanging="1080"/>
      </w:pPr>
      <w:rPr>
        <w:rFonts w:hint="default"/>
      </w:rPr>
    </w:lvl>
    <w:lvl w:ilvl="6">
      <w:start w:val="1"/>
      <w:numFmt w:val="decimal"/>
      <w:lvlText w:val="%1.%2.%3.%4.%5.%6.%7"/>
      <w:lvlJc w:val="left"/>
      <w:pPr>
        <w:tabs>
          <w:tab w:val="num" w:pos="-3666"/>
        </w:tabs>
        <w:ind w:left="-3666" w:hanging="1440"/>
      </w:pPr>
      <w:rPr>
        <w:rFonts w:hint="default"/>
      </w:rPr>
    </w:lvl>
    <w:lvl w:ilvl="7">
      <w:start w:val="1"/>
      <w:numFmt w:val="decimal"/>
      <w:lvlText w:val="%1.%2.%3.%4.%5.%6.%7.%8"/>
      <w:lvlJc w:val="left"/>
      <w:pPr>
        <w:tabs>
          <w:tab w:val="num" w:pos="-4517"/>
        </w:tabs>
        <w:ind w:left="-4517" w:hanging="1440"/>
      </w:pPr>
      <w:rPr>
        <w:rFonts w:hint="default"/>
      </w:rPr>
    </w:lvl>
    <w:lvl w:ilvl="8">
      <w:start w:val="1"/>
      <w:numFmt w:val="decimal"/>
      <w:lvlText w:val="%1.%2.%3.%4.%5.%6.%7.%8.%9"/>
      <w:lvlJc w:val="left"/>
      <w:pPr>
        <w:tabs>
          <w:tab w:val="num" w:pos="-5008"/>
        </w:tabs>
        <w:ind w:left="-5008" w:hanging="1800"/>
      </w:pPr>
      <w:rPr>
        <w:rFonts w:hint="default"/>
      </w:rPr>
    </w:lvl>
  </w:abstractNum>
  <w:abstractNum w:abstractNumId="10">
    <w:nsid w:val="23D67BBA"/>
    <w:multiLevelType w:val="hybridMultilevel"/>
    <w:tmpl w:val="6B367300"/>
    <w:lvl w:ilvl="0" w:tplc="310AAA48">
      <w:start w:val="2"/>
      <w:numFmt w:val="decimal"/>
      <w:lvlText w:val="%1"/>
      <w:lvlJc w:val="left"/>
      <w:pPr>
        <w:tabs>
          <w:tab w:val="num" w:pos="0"/>
        </w:tabs>
        <w:ind w:left="0" w:hanging="855"/>
      </w:pPr>
      <w:rPr>
        <w:rFonts w:hint="default"/>
      </w:rPr>
    </w:lvl>
    <w:lvl w:ilvl="1" w:tplc="39A609D6">
      <w:numFmt w:val="none"/>
      <w:lvlText w:val=""/>
      <w:lvlJc w:val="left"/>
      <w:pPr>
        <w:tabs>
          <w:tab w:val="num" w:pos="360"/>
        </w:tabs>
      </w:pPr>
    </w:lvl>
    <w:lvl w:ilvl="2" w:tplc="B6E27472">
      <w:numFmt w:val="none"/>
      <w:lvlText w:val=""/>
      <w:lvlJc w:val="left"/>
      <w:pPr>
        <w:tabs>
          <w:tab w:val="num" w:pos="360"/>
        </w:tabs>
      </w:pPr>
    </w:lvl>
    <w:lvl w:ilvl="3" w:tplc="D29E7D9A">
      <w:numFmt w:val="none"/>
      <w:lvlText w:val=""/>
      <w:lvlJc w:val="left"/>
      <w:pPr>
        <w:tabs>
          <w:tab w:val="num" w:pos="360"/>
        </w:tabs>
      </w:pPr>
    </w:lvl>
    <w:lvl w:ilvl="4" w:tplc="0464BBC0">
      <w:numFmt w:val="none"/>
      <w:lvlText w:val=""/>
      <w:lvlJc w:val="left"/>
      <w:pPr>
        <w:tabs>
          <w:tab w:val="num" w:pos="360"/>
        </w:tabs>
      </w:pPr>
    </w:lvl>
    <w:lvl w:ilvl="5" w:tplc="501CC296">
      <w:numFmt w:val="none"/>
      <w:lvlText w:val=""/>
      <w:lvlJc w:val="left"/>
      <w:pPr>
        <w:tabs>
          <w:tab w:val="num" w:pos="360"/>
        </w:tabs>
      </w:pPr>
    </w:lvl>
    <w:lvl w:ilvl="6" w:tplc="966E6B18">
      <w:numFmt w:val="none"/>
      <w:lvlText w:val=""/>
      <w:lvlJc w:val="left"/>
      <w:pPr>
        <w:tabs>
          <w:tab w:val="num" w:pos="360"/>
        </w:tabs>
      </w:pPr>
    </w:lvl>
    <w:lvl w:ilvl="7" w:tplc="0D72450A">
      <w:numFmt w:val="none"/>
      <w:lvlText w:val=""/>
      <w:lvlJc w:val="left"/>
      <w:pPr>
        <w:tabs>
          <w:tab w:val="num" w:pos="360"/>
        </w:tabs>
      </w:pPr>
    </w:lvl>
    <w:lvl w:ilvl="8" w:tplc="F50A1C72">
      <w:numFmt w:val="none"/>
      <w:lvlText w:val=""/>
      <w:lvlJc w:val="left"/>
      <w:pPr>
        <w:tabs>
          <w:tab w:val="num" w:pos="360"/>
        </w:tabs>
      </w:pPr>
    </w:lvl>
  </w:abstractNum>
  <w:abstractNum w:abstractNumId="11">
    <w:nsid w:val="24CD0B7F"/>
    <w:multiLevelType w:val="multilevel"/>
    <w:tmpl w:val="51FA6F88"/>
    <w:lvl w:ilvl="0">
      <w:start w:val="3"/>
      <w:numFmt w:val="decimal"/>
      <w:lvlText w:val="%1"/>
      <w:lvlJc w:val="left"/>
      <w:pPr>
        <w:tabs>
          <w:tab w:val="num" w:pos="855"/>
        </w:tabs>
        <w:ind w:left="855" w:hanging="855"/>
      </w:pPr>
      <w:rPr>
        <w:rFonts w:hint="default"/>
      </w:rPr>
    </w:lvl>
    <w:lvl w:ilvl="1">
      <w:start w:val="1"/>
      <w:numFmt w:val="decimal"/>
      <w:lvlText w:val="%1.%2"/>
      <w:lvlJc w:val="left"/>
      <w:pPr>
        <w:tabs>
          <w:tab w:val="num" w:pos="4"/>
        </w:tabs>
        <w:ind w:left="4" w:hanging="855"/>
      </w:pPr>
      <w:rPr>
        <w:rFonts w:hint="default"/>
      </w:rPr>
    </w:lvl>
    <w:lvl w:ilvl="2">
      <w:start w:val="1"/>
      <w:numFmt w:val="decimal"/>
      <w:lvlText w:val="%1.%2.%3"/>
      <w:lvlJc w:val="left"/>
      <w:pPr>
        <w:tabs>
          <w:tab w:val="num" w:pos="-847"/>
        </w:tabs>
        <w:ind w:left="-847" w:hanging="855"/>
      </w:pPr>
      <w:rPr>
        <w:rFonts w:hint="default"/>
      </w:rPr>
    </w:lvl>
    <w:lvl w:ilvl="3">
      <w:start w:val="1"/>
      <w:numFmt w:val="decimal"/>
      <w:lvlText w:val="%1.%2.%3.%4"/>
      <w:lvlJc w:val="left"/>
      <w:pPr>
        <w:tabs>
          <w:tab w:val="num" w:pos="-1698"/>
        </w:tabs>
        <w:ind w:left="-1698" w:hanging="855"/>
      </w:pPr>
      <w:rPr>
        <w:rFonts w:hint="default"/>
      </w:rPr>
    </w:lvl>
    <w:lvl w:ilvl="4">
      <w:start w:val="1"/>
      <w:numFmt w:val="decimal"/>
      <w:lvlText w:val="%1.%2.%3.%4.%5"/>
      <w:lvlJc w:val="left"/>
      <w:pPr>
        <w:tabs>
          <w:tab w:val="num" w:pos="-2324"/>
        </w:tabs>
        <w:ind w:left="-2324" w:hanging="1080"/>
      </w:pPr>
      <w:rPr>
        <w:rFonts w:hint="default"/>
      </w:rPr>
    </w:lvl>
    <w:lvl w:ilvl="5">
      <w:start w:val="1"/>
      <w:numFmt w:val="decimal"/>
      <w:lvlText w:val="%1.%2.%3.%4.%5.%6"/>
      <w:lvlJc w:val="left"/>
      <w:pPr>
        <w:tabs>
          <w:tab w:val="num" w:pos="-3175"/>
        </w:tabs>
        <w:ind w:left="-3175" w:hanging="1080"/>
      </w:pPr>
      <w:rPr>
        <w:rFonts w:hint="default"/>
      </w:rPr>
    </w:lvl>
    <w:lvl w:ilvl="6">
      <w:start w:val="1"/>
      <w:numFmt w:val="decimal"/>
      <w:lvlText w:val="%1.%2.%3.%4.%5.%6.%7"/>
      <w:lvlJc w:val="left"/>
      <w:pPr>
        <w:tabs>
          <w:tab w:val="num" w:pos="-3666"/>
        </w:tabs>
        <w:ind w:left="-3666" w:hanging="1440"/>
      </w:pPr>
      <w:rPr>
        <w:rFonts w:hint="default"/>
      </w:rPr>
    </w:lvl>
    <w:lvl w:ilvl="7">
      <w:start w:val="1"/>
      <w:numFmt w:val="decimal"/>
      <w:lvlText w:val="%1.%2.%3.%4.%5.%6.%7.%8"/>
      <w:lvlJc w:val="left"/>
      <w:pPr>
        <w:tabs>
          <w:tab w:val="num" w:pos="-4517"/>
        </w:tabs>
        <w:ind w:left="-4517" w:hanging="1440"/>
      </w:pPr>
      <w:rPr>
        <w:rFonts w:hint="default"/>
      </w:rPr>
    </w:lvl>
    <w:lvl w:ilvl="8">
      <w:start w:val="1"/>
      <w:numFmt w:val="decimal"/>
      <w:lvlText w:val="%1.%2.%3.%4.%5.%6.%7.%8.%9"/>
      <w:lvlJc w:val="left"/>
      <w:pPr>
        <w:tabs>
          <w:tab w:val="num" w:pos="-5368"/>
        </w:tabs>
        <w:ind w:left="-5368" w:hanging="1440"/>
      </w:pPr>
      <w:rPr>
        <w:rFonts w:hint="default"/>
      </w:rPr>
    </w:lvl>
  </w:abstractNum>
  <w:abstractNum w:abstractNumId="12">
    <w:nsid w:val="285F7540"/>
    <w:multiLevelType w:val="multilevel"/>
    <w:tmpl w:val="B352C32E"/>
    <w:lvl w:ilvl="0">
      <w:start w:val="3"/>
      <w:numFmt w:val="decimal"/>
      <w:lvlText w:val="%1"/>
      <w:lvlJc w:val="left"/>
      <w:pPr>
        <w:tabs>
          <w:tab w:val="num" w:pos="855"/>
        </w:tabs>
        <w:ind w:left="855" w:hanging="855"/>
      </w:pPr>
      <w:rPr>
        <w:rFonts w:hint="default"/>
        <w:i/>
      </w:rPr>
    </w:lvl>
    <w:lvl w:ilvl="1">
      <w:start w:val="1"/>
      <w:numFmt w:val="decimal"/>
      <w:lvlText w:val="%1.%2"/>
      <w:lvlJc w:val="left"/>
      <w:pPr>
        <w:tabs>
          <w:tab w:val="num" w:pos="428"/>
        </w:tabs>
        <w:ind w:left="428" w:hanging="855"/>
      </w:pPr>
      <w:rPr>
        <w:rFonts w:hint="default"/>
        <w:i/>
      </w:rPr>
    </w:lvl>
    <w:lvl w:ilvl="2">
      <w:start w:val="1"/>
      <w:numFmt w:val="decimal"/>
      <w:lvlText w:val="%1.%2.%3"/>
      <w:lvlJc w:val="left"/>
      <w:pPr>
        <w:tabs>
          <w:tab w:val="num" w:pos="1"/>
        </w:tabs>
        <w:ind w:left="1" w:hanging="855"/>
      </w:pPr>
      <w:rPr>
        <w:rFonts w:hint="default"/>
        <w:i/>
      </w:rPr>
    </w:lvl>
    <w:lvl w:ilvl="3">
      <w:start w:val="1"/>
      <w:numFmt w:val="decimal"/>
      <w:lvlText w:val="%1.%2.%3.%4"/>
      <w:lvlJc w:val="left"/>
      <w:pPr>
        <w:tabs>
          <w:tab w:val="num" w:pos="-426"/>
        </w:tabs>
        <w:ind w:left="-426" w:hanging="855"/>
      </w:pPr>
      <w:rPr>
        <w:rFonts w:hint="default"/>
        <w:i/>
      </w:rPr>
    </w:lvl>
    <w:lvl w:ilvl="4">
      <w:start w:val="1"/>
      <w:numFmt w:val="decimal"/>
      <w:lvlText w:val="%1.%2.%3.%4.%5"/>
      <w:lvlJc w:val="left"/>
      <w:pPr>
        <w:tabs>
          <w:tab w:val="num" w:pos="-628"/>
        </w:tabs>
        <w:ind w:left="-628" w:hanging="1080"/>
      </w:pPr>
      <w:rPr>
        <w:rFonts w:hint="default"/>
        <w:i/>
      </w:rPr>
    </w:lvl>
    <w:lvl w:ilvl="5">
      <w:start w:val="1"/>
      <w:numFmt w:val="decimal"/>
      <w:lvlText w:val="%1.%2.%3.%4.%5.%6"/>
      <w:lvlJc w:val="left"/>
      <w:pPr>
        <w:tabs>
          <w:tab w:val="num" w:pos="-1055"/>
        </w:tabs>
        <w:ind w:left="-1055" w:hanging="1080"/>
      </w:pPr>
      <w:rPr>
        <w:rFonts w:hint="default"/>
        <w:i/>
      </w:rPr>
    </w:lvl>
    <w:lvl w:ilvl="6">
      <w:start w:val="1"/>
      <w:numFmt w:val="decimal"/>
      <w:lvlText w:val="%1.%2.%3.%4.%5.%6.%7"/>
      <w:lvlJc w:val="left"/>
      <w:pPr>
        <w:tabs>
          <w:tab w:val="num" w:pos="-1122"/>
        </w:tabs>
        <w:ind w:left="-1122" w:hanging="1440"/>
      </w:pPr>
      <w:rPr>
        <w:rFonts w:hint="default"/>
        <w:i/>
      </w:rPr>
    </w:lvl>
    <w:lvl w:ilvl="7">
      <w:start w:val="1"/>
      <w:numFmt w:val="decimal"/>
      <w:lvlText w:val="%1.%2.%3.%4.%5.%6.%7.%8"/>
      <w:lvlJc w:val="left"/>
      <w:pPr>
        <w:tabs>
          <w:tab w:val="num" w:pos="-1549"/>
        </w:tabs>
        <w:ind w:left="-1549" w:hanging="1440"/>
      </w:pPr>
      <w:rPr>
        <w:rFonts w:hint="default"/>
        <w:i/>
      </w:rPr>
    </w:lvl>
    <w:lvl w:ilvl="8">
      <w:start w:val="1"/>
      <w:numFmt w:val="decimal"/>
      <w:lvlText w:val="%1.%2.%3.%4.%5.%6.%7.%8.%9"/>
      <w:lvlJc w:val="left"/>
      <w:pPr>
        <w:tabs>
          <w:tab w:val="num" w:pos="-1976"/>
        </w:tabs>
        <w:ind w:left="-1976" w:hanging="1440"/>
      </w:pPr>
      <w:rPr>
        <w:rFonts w:hint="default"/>
        <w:i/>
      </w:rPr>
    </w:lvl>
  </w:abstractNum>
  <w:abstractNum w:abstractNumId="13">
    <w:nsid w:val="2A634A20"/>
    <w:multiLevelType w:val="multilevel"/>
    <w:tmpl w:val="DC08CD6A"/>
    <w:lvl w:ilvl="0">
      <w:start w:val="2"/>
      <w:numFmt w:val="decimal"/>
      <w:lvlText w:val="%1"/>
      <w:lvlJc w:val="left"/>
      <w:pPr>
        <w:tabs>
          <w:tab w:val="num" w:pos="855"/>
        </w:tabs>
        <w:ind w:left="855" w:hanging="855"/>
      </w:pPr>
      <w:rPr>
        <w:rFonts w:hint="default"/>
      </w:rPr>
    </w:lvl>
    <w:lvl w:ilvl="1">
      <w:start w:val="2"/>
      <w:numFmt w:val="decimal"/>
      <w:lvlText w:val="%1.%2"/>
      <w:lvlJc w:val="left"/>
      <w:pPr>
        <w:tabs>
          <w:tab w:val="num" w:pos="4"/>
        </w:tabs>
        <w:ind w:left="4" w:hanging="855"/>
      </w:pPr>
      <w:rPr>
        <w:rFonts w:hint="default"/>
      </w:rPr>
    </w:lvl>
    <w:lvl w:ilvl="2">
      <w:start w:val="1"/>
      <w:numFmt w:val="decimal"/>
      <w:lvlText w:val="%1.%2.%3"/>
      <w:lvlJc w:val="left"/>
      <w:pPr>
        <w:tabs>
          <w:tab w:val="num" w:pos="-847"/>
        </w:tabs>
        <w:ind w:left="-847" w:hanging="855"/>
      </w:pPr>
      <w:rPr>
        <w:rFonts w:hint="default"/>
      </w:rPr>
    </w:lvl>
    <w:lvl w:ilvl="3">
      <w:start w:val="1"/>
      <w:numFmt w:val="decimal"/>
      <w:lvlText w:val="%1.%2.%3.%4"/>
      <w:lvlJc w:val="left"/>
      <w:pPr>
        <w:tabs>
          <w:tab w:val="num" w:pos="-1698"/>
        </w:tabs>
        <w:ind w:left="-1698" w:hanging="855"/>
      </w:pPr>
      <w:rPr>
        <w:rFonts w:hint="default"/>
      </w:rPr>
    </w:lvl>
    <w:lvl w:ilvl="4">
      <w:start w:val="1"/>
      <w:numFmt w:val="decimal"/>
      <w:lvlText w:val="%1.%2.%3.%4.%5"/>
      <w:lvlJc w:val="left"/>
      <w:pPr>
        <w:tabs>
          <w:tab w:val="num" w:pos="-2324"/>
        </w:tabs>
        <w:ind w:left="-2324" w:hanging="1080"/>
      </w:pPr>
      <w:rPr>
        <w:rFonts w:hint="default"/>
      </w:rPr>
    </w:lvl>
    <w:lvl w:ilvl="5">
      <w:start w:val="1"/>
      <w:numFmt w:val="decimal"/>
      <w:lvlText w:val="%1.%2.%3.%4.%5.%6"/>
      <w:lvlJc w:val="left"/>
      <w:pPr>
        <w:tabs>
          <w:tab w:val="num" w:pos="-3175"/>
        </w:tabs>
        <w:ind w:left="-3175" w:hanging="1080"/>
      </w:pPr>
      <w:rPr>
        <w:rFonts w:hint="default"/>
      </w:rPr>
    </w:lvl>
    <w:lvl w:ilvl="6">
      <w:start w:val="1"/>
      <w:numFmt w:val="decimal"/>
      <w:lvlText w:val="%1.%2.%3.%4.%5.%6.%7"/>
      <w:lvlJc w:val="left"/>
      <w:pPr>
        <w:tabs>
          <w:tab w:val="num" w:pos="-3666"/>
        </w:tabs>
        <w:ind w:left="-3666" w:hanging="1440"/>
      </w:pPr>
      <w:rPr>
        <w:rFonts w:hint="default"/>
      </w:rPr>
    </w:lvl>
    <w:lvl w:ilvl="7">
      <w:start w:val="1"/>
      <w:numFmt w:val="decimal"/>
      <w:lvlText w:val="%1.%2.%3.%4.%5.%6.%7.%8"/>
      <w:lvlJc w:val="left"/>
      <w:pPr>
        <w:tabs>
          <w:tab w:val="num" w:pos="-4517"/>
        </w:tabs>
        <w:ind w:left="-4517" w:hanging="1440"/>
      </w:pPr>
      <w:rPr>
        <w:rFonts w:hint="default"/>
      </w:rPr>
    </w:lvl>
    <w:lvl w:ilvl="8">
      <w:start w:val="1"/>
      <w:numFmt w:val="decimal"/>
      <w:lvlText w:val="%1.%2.%3.%4.%5.%6.%7.%8.%9"/>
      <w:lvlJc w:val="left"/>
      <w:pPr>
        <w:tabs>
          <w:tab w:val="num" w:pos="-5368"/>
        </w:tabs>
        <w:ind w:left="-5368" w:hanging="1440"/>
      </w:pPr>
      <w:rPr>
        <w:rFonts w:hint="default"/>
      </w:rPr>
    </w:lvl>
  </w:abstractNum>
  <w:abstractNum w:abstractNumId="14">
    <w:nsid w:val="2F700FE5"/>
    <w:multiLevelType w:val="hybridMultilevel"/>
    <w:tmpl w:val="60A2C0D8"/>
    <w:lvl w:ilvl="0">
      <w:start w:val="2"/>
      <w:numFmt w:val="decimal"/>
      <w:lvlText w:val="%1"/>
      <w:lvlJc w:val="left"/>
      <w:pPr>
        <w:tabs>
          <w:tab w:val="num" w:pos="4"/>
        </w:tabs>
        <w:ind w:left="4" w:hanging="855"/>
      </w:pPr>
      <w:rPr>
        <w:rFonts w:hint="default"/>
      </w:rPr>
    </w:lvl>
    <w:lvl w:ilvl="1" w:tentative="1">
      <w:start w:val="1"/>
      <w:numFmt w:val="lowerLetter"/>
      <w:lvlText w:val="%2."/>
      <w:lvlJc w:val="left"/>
      <w:pPr>
        <w:tabs>
          <w:tab w:val="num" w:pos="229"/>
        </w:tabs>
        <w:ind w:left="229" w:hanging="360"/>
      </w:pPr>
    </w:lvl>
    <w:lvl w:ilvl="2" w:tentative="1">
      <w:start w:val="1"/>
      <w:numFmt w:val="lowerRoman"/>
      <w:lvlText w:val="%3."/>
      <w:lvlJc w:val="right"/>
      <w:pPr>
        <w:tabs>
          <w:tab w:val="num" w:pos="949"/>
        </w:tabs>
        <w:ind w:left="949" w:hanging="180"/>
      </w:pPr>
    </w:lvl>
    <w:lvl w:ilvl="3" w:tentative="1">
      <w:start w:val="1"/>
      <w:numFmt w:val="decimal"/>
      <w:lvlText w:val="%4."/>
      <w:lvlJc w:val="left"/>
      <w:pPr>
        <w:tabs>
          <w:tab w:val="num" w:pos="1669"/>
        </w:tabs>
        <w:ind w:left="1669" w:hanging="360"/>
      </w:pPr>
    </w:lvl>
    <w:lvl w:ilvl="4" w:tentative="1">
      <w:start w:val="1"/>
      <w:numFmt w:val="lowerLetter"/>
      <w:lvlText w:val="%5."/>
      <w:lvlJc w:val="left"/>
      <w:pPr>
        <w:tabs>
          <w:tab w:val="num" w:pos="2389"/>
        </w:tabs>
        <w:ind w:left="2389" w:hanging="360"/>
      </w:pPr>
    </w:lvl>
    <w:lvl w:ilvl="5" w:tentative="1">
      <w:start w:val="1"/>
      <w:numFmt w:val="lowerRoman"/>
      <w:lvlText w:val="%6."/>
      <w:lvlJc w:val="right"/>
      <w:pPr>
        <w:tabs>
          <w:tab w:val="num" w:pos="3109"/>
        </w:tabs>
        <w:ind w:left="3109" w:hanging="180"/>
      </w:pPr>
    </w:lvl>
    <w:lvl w:ilvl="6" w:tentative="1">
      <w:start w:val="1"/>
      <w:numFmt w:val="decimal"/>
      <w:lvlText w:val="%7."/>
      <w:lvlJc w:val="left"/>
      <w:pPr>
        <w:tabs>
          <w:tab w:val="num" w:pos="3829"/>
        </w:tabs>
        <w:ind w:left="3829" w:hanging="360"/>
      </w:pPr>
    </w:lvl>
    <w:lvl w:ilvl="7" w:tentative="1">
      <w:start w:val="1"/>
      <w:numFmt w:val="lowerLetter"/>
      <w:lvlText w:val="%8."/>
      <w:lvlJc w:val="left"/>
      <w:pPr>
        <w:tabs>
          <w:tab w:val="num" w:pos="4549"/>
        </w:tabs>
        <w:ind w:left="4549" w:hanging="360"/>
      </w:pPr>
    </w:lvl>
    <w:lvl w:ilvl="8" w:tentative="1">
      <w:start w:val="1"/>
      <w:numFmt w:val="lowerRoman"/>
      <w:lvlText w:val="%9."/>
      <w:lvlJc w:val="right"/>
      <w:pPr>
        <w:tabs>
          <w:tab w:val="num" w:pos="5269"/>
        </w:tabs>
        <w:ind w:left="5269" w:hanging="180"/>
      </w:pPr>
    </w:lvl>
  </w:abstractNum>
  <w:abstractNum w:abstractNumId="15">
    <w:nsid w:val="353C0483"/>
    <w:multiLevelType w:val="hybridMultilevel"/>
    <w:tmpl w:val="6B4CC47C"/>
    <w:lvl w:ilvl="0">
      <w:start w:val="1"/>
      <w:numFmt w:val="decimal"/>
      <w:lvlText w:val="%1"/>
      <w:lvlJc w:val="left"/>
      <w:pPr>
        <w:tabs>
          <w:tab w:val="num" w:pos="6"/>
        </w:tabs>
        <w:ind w:left="6" w:hanging="855"/>
      </w:pPr>
      <w:rPr>
        <w:rFonts w:hint="default"/>
      </w:rPr>
    </w:lvl>
    <w:lvl w:ilvl="1" w:tentative="1">
      <w:start w:val="1"/>
      <w:numFmt w:val="lowerLetter"/>
      <w:lvlText w:val="%2."/>
      <w:lvlJc w:val="left"/>
      <w:pPr>
        <w:tabs>
          <w:tab w:val="num" w:pos="231"/>
        </w:tabs>
        <w:ind w:left="231" w:hanging="360"/>
      </w:pPr>
    </w:lvl>
    <w:lvl w:ilvl="2" w:tentative="1">
      <w:start w:val="1"/>
      <w:numFmt w:val="lowerRoman"/>
      <w:lvlText w:val="%3."/>
      <w:lvlJc w:val="right"/>
      <w:pPr>
        <w:tabs>
          <w:tab w:val="num" w:pos="951"/>
        </w:tabs>
        <w:ind w:left="951" w:hanging="180"/>
      </w:pPr>
    </w:lvl>
    <w:lvl w:ilvl="3" w:tentative="1">
      <w:start w:val="1"/>
      <w:numFmt w:val="decimal"/>
      <w:lvlText w:val="%4."/>
      <w:lvlJc w:val="left"/>
      <w:pPr>
        <w:tabs>
          <w:tab w:val="num" w:pos="1671"/>
        </w:tabs>
        <w:ind w:left="1671" w:hanging="360"/>
      </w:pPr>
    </w:lvl>
    <w:lvl w:ilvl="4" w:tentative="1">
      <w:start w:val="1"/>
      <w:numFmt w:val="lowerLetter"/>
      <w:lvlText w:val="%5."/>
      <w:lvlJc w:val="left"/>
      <w:pPr>
        <w:tabs>
          <w:tab w:val="num" w:pos="2391"/>
        </w:tabs>
        <w:ind w:left="2391" w:hanging="360"/>
      </w:pPr>
    </w:lvl>
    <w:lvl w:ilvl="5" w:tentative="1">
      <w:start w:val="1"/>
      <w:numFmt w:val="lowerRoman"/>
      <w:lvlText w:val="%6."/>
      <w:lvlJc w:val="right"/>
      <w:pPr>
        <w:tabs>
          <w:tab w:val="num" w:pos="3111"/>
        </w:tabs>
        <w:ind w:left="3111" w:hanging="180"/>
      </w:pPr>
    </w:lvl>
    <w:lvl w:ilvl="6" w:tentative="1">
      <w:start w:val="1"/>
      <w:numFmt w:val="decimal"/>
      <w:lvlText w:val="%7."/>
      <w:lvlJc w:val="left"/>
      <w:pPr>
        <w:tabs>
          <w:tab w:val="num" w:pos="3831"/>
        </w:tabs>
        <w:ind w:left="3831" w:hanging="360"/>
      </w:pPr>
    </w:lvl>
    <w:lvl w:ilvl="7" w:tentative="1">
      <w:start w:val="1"/>
      <w:numFmt w:val="lowerLetter"/>
      <w:lvlText w:val="%8."/>
      <w:lvlJc w:val="left"/>
      <w:pPr>
        <w:tabs>
          <w:tab w:val="num" w:pos="4551"/>
        </w:tabs>
        <w:ind w:left="4551" w:hanging="360"/>
      </w:pPr>
    </w:lvl>
    <w:lvl w:ilvl="8" w:tentative="1">
      <w:start w:val="1"/>
      <w:numFmt w:val="lowerRoman"/>
      <w:lvlText w:val="%9."/>
      <w:lvlJc w:val="right"/>
      <w:pPr>
        <w:tabs>
          <w:tab w:val="num" w:pos="5271"/>
        </w:tabs>
        <w:ind w:left="5271" w:hanging="180"/>
      </w:pPr>
    </w:lvl>
  </w:abstractNum>
  <w:abstractNum w:abstractNumId="16">
    <w:nsid w:val="3B5F7AFB"/>
    <w:multiLevelType w:val="multilevel"/>
    <w:tmpl w:val="79AA0152"/>
    <w:lvl w:ilvl="0">
      <w:start w:val="3"/>
      <w:numFmt w:val="decimal"/>
      <w:lvlText w:val="%1"/>
      <w:lvlJc w:val="left"/>
      <w:pPr>
        <w:tabs>
          <w:tab w:val="num" w:pos="855"/>
        </w:tabs>
        <w:ind w:left="855" w:hanging="855"/>
      </w:pPr>
      <w:rPr>
        <w:rFonts w:hint="default"/>
        <w:i/>
      </w:rPr>
    </w:lvl>
    <w:lvl w:ilvl="1">
      <w:start w:val="2"/>
      <w:numFmt w:val="decimal"/>
      <w:lvlText w:val="%1.%2"/>
      <w:lvlJc w:val="left"/>
      <w:pPr>
        <w:tabs>
          <w:tab w:val="num" w:pos="428"/>
        </w:tabs>
        <w:ind w:left="428" w:hanging="855"/>
      </w:pPr>
      <w:rPr>
        <w:rFonts w:hint="default"/>
        <w:i/>
      </w:rPr>
    </w:lvl>
    <w:lvl w:ilvl="2">
      <w:start w:val="1"/>
      <w:numFmt w:val="decimal"/>
      <w:lvlText w:val="%1.%2.%3"/>
      <w:lvlJc w:val="left"/>
      <w:pPr>
        <w:tabs>
          <w:tab w:val="num" w:pos="1"/>
        </w:tabs>
        <w:ind w:left="1" w:hanging="855"/>
      </w:pPr>
      <w:rPr>
        <w:rFonts w:hint="default"/>
        <w:i/>
      </w:rPr>
    </w:lvl>
    <w:lvl w:ilvl="3">
      <w:start w:val="1"/>
      <w:numFmt w:val="decimal"/>
      <w:lvlText w:val="%1.%2.%3.%4"/>
      <w:lvlJc w:val="left"/>
      <w:pPr>
        <w:tabs>
          <w:tab w:val="num" w:pos="-426"/>
        </w:tabs>
        <w:ind w:left="-426" w:hanging="855"/>
      </w:pPr>
      <w:rPr>
        <w:rFonts w:hint="default"/>
        <w:i/>
      </w:rPr>
    </w:lvl>
    <w:lvl w:ilvl="4">
      <w:start w:val="1"/>
      <w:numFmt w:val="decimal"/>
      <w:lvlText w:val="%1.%2.%3.%4.%5"/>
      <w:lvlJc w:val="left"/>
      <w:pPr>
        <w:tabs>
          <w:tab w:val="num" w:pos="-628"/>
        </w:tabs>
        <w:ind w:left="-628" w:hanging="1080"/>
      </w:pPr>
      <w:rPr>
        <w:rFonts w:hint="default"/>
        <w:i/>
      </w:rPr>
    </w:lvl>
    <w:lvl w:ilvl="5">
      <w:start w:val="1"/>
      <w:numFmt w:val="decimal"/>
      <w:lvlText w:val="%1.%2.%3.%4.%5.%6"/>
      <w:lvlJc w:val="left"/>
      <w:pPr>
        <w:tabs>
          <w:tab w:val="num" w:pos="-1055"/>
        </w:tabs>
        <w:ind w:left="-1055" w:hanging="1080"/>
      </w:pPr>
      <w:rPr>
        <w:rFonts w:hint="default"/>
        <w:i/>
      </w:rPr>
    </w:lvl>
    <w:lvl w:ilvl="6">
      <w:start w:val="1"/>
      <w:numFmt w:val="decimal"/>
      <w:lvlText w:val="%1.%2.%3.%4.%5.%6.%7"/>
      <w:lvlJc w:val="left"/>
      <w:pPr>
        <w:tabs>
          <w:tab w:val="num" w:pos="-1122"/>
        </w:tabs>
        <w:ind w:left="-1122" w:hanging="1440"/>
      </w:pPr>
      <w:rPr>
        <w:rFonts w:hint="default"/>
        <w:i/>
      </w:rPr>
    </w:lvl>
    <w:lvl w:ilvl="7">
      <w:start w:val="1"/>
      <w:numFmt w:val="decimal"/>
      <w:lvlText w:val="%1.%2.%3.%4.%5.%6.%7.%8"/>
      <w:lvlJc w:val="left"/>
      <w:pPr>
        <w:tabs>
          <w:tab w:val="num" w:pos="-1549"/>
        </w:tabs>
        <w:ind w:left="-1549" w:hanging="1440"/>
      </w:pPr>
      <w:rPr>
        <w:rFonts w:hint="default"/>
        <w:i/>
      </w:rPr>
    </w:lvl>
    <w:lvl w:ilvl="8">
      <w:start w:val="1"/>
      <w:numFmt w:val="decimal"/>
      <w:lvlText w:val="%1.%2.%3.%4.%5.%6.%7.%8.%9"/>
      <w:lvlJc w:val="left"/>
      <w:pPr>
        <w:tabs>
          <w:tab w:val="num" w:pos="-1976"/>
        </w:tabs>
        <w:ind w:left="-1976" w:hanging="1440"/>
      </w:pPr>
      <w:rPr>
        <w:rFonts w:hint="default"/>
        <w:i/>
      </w:rPr>
    </w:lvl>
  </w:abstractNum>
  <w:abstractNum w:abstractNumId="17">
    <w:nsid w:val="3EFD40A5"/>
    <w:multiLevelType w:val="multilevel"/>
    <w:tmpl w:val="BFE8BE96"/>
    <w:lvl w:ilvl="0">
      <w:start w:val="3"/>
      <w:numFmt w:val="decimal"/>
      <w:lvlText w:val="%1"/>
      <w:lvlJc w:val="left"/>
      <w:pPr>
        <w:tabs>
          <w:tab w:val="num" w:pos="900"/>
        </w:tabs>
        <w:ind w:left="900" w:hanging="900"/>
      </w:pPr>
      <w:rPr>
        <w:rFonts w:hint="default"/>
      </w:rPr>
    </w:lvl>
    <w:lvl w:ilvl="1">
      <w:start w:val="1"/>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1800"/>
        </w:tabs>
        <w:ind w:left="-1800" w:hanging="90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420"/>
        </w:tabs>
        <w:ind w:left="-342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860"/>
        </w:tabs>
        <w:ind w:left="-4860" w:hanging="1440"/>
      </w:pPr>
      <w:rPr>
        <w:rFonts w:hint="default"/>
      </w:rPr>
    </w:lvl>
    <w:lvl w:ilvl="8">
      <w:start w:val="1"/>
      <w:numFmt w:val="decimal"/>
      <w:lvlText w:val="%1.%2.%3.%4.%5.%6.%7.%8.%9"/>
      <w:lvlJc w:val="left"/>
      <w:pPr>
        <w:tabs>
          <w:tab w:val="num" w:pos="-5760"/>
        </w:tabs>
        <w:ind w:left="-5760" w:hanging="1440"/>
      </w:pPr>
      <w:rPr>
        <w:rFonts w:hint="default"/>
      </w:rPr>
    </w:lvl>
  </w:abstractNum>
  <w:abstractNum w:abstractNumId="18">
    <w:nsid w:val="443D2969"/>
    <w:multiLevelType w:val="hybridMultilevel"/>
    <w:tmpl w:val="DE609B1A"/>
    <w:lvl w:ilvl="0" w:tplc="522013EE">
      <w:start w:val="1"/>
      <w:numFmt w:val="decimal"/>
      <w:lvlText w:val="%1"/>
      <w:lvlJc w:val="left"/>
      <w:pPr>
        <w:tabs>
          <w:tab w:val="num" w:pos="8"/>
        </w:tabs>
        <w:ind w:left="8" w:hanging="855"/>
      </w:pPr>
      <w:rPr>
        <w:rFonts w:hint="default"/>
      </w:rPr>
    </w:lvl>
    <w:lvl w:ilvl="1" w:tplc="08090019" w:tentative="1">
      <w:start w:val="1"/>
      <w:numFmt w:val="lowerLetter"/>
      <w:lvlText w:val="%2."/>
      <w:lvlJc w:val="left"/>
      <w:pPr>
        <w:tabs>
          <w:tab w:val="num" w:pos="233"/>
        </w:tabs>
        <w:ind w:left="233" w:hanging="360"/>
      </w:pPr>
    </w:lvl>
    <w:lvl w:ilvl="2" w:tplc="0809001B" w:tentative="1">
      <w:start w:val="1"/>
      <w:numFmt w:val="lowerRoman"/>
      <w:lvlText w:val="%3."/>
      <w:lvlJc w:val="right"/>
      <w:pPr>
        <w:tabs>
          <w:tab w:val="num" w:pos="953"/>
        </w:tabs>
        <w:ind w:left="953" w:hanging="180"/>
      </w:pPr>
    </w:lvl>
    <w:lvl w:ilvl="3" w:tplc="0809000F" w:tentative="1">
      <w:start w:val="1"/>
      <w:numFmt w:val="decimal"/>
      <w:lvlText w:val="%4."/>
      <w:lvlJc w:val="left"/>
      <w:pPr>
        <w:tabs>
          <w:tab w:val="num" w:pos="1673"/>
        </w:tabs>
        <w:ind w:left="1673" w:hanging="360"/>
      </w:pPr>
    </w:lvl>
    <w:lvl w:ilvl="4" w:tplc="08090019" w:tentative="1">
      <w:start w:val="1"/>
      <w:numFmt w:val="lowerLetter"/>
      <w:lvlText w:val="%5."/>
      <w:lvlJc w:val="left"/>
      <w:pPr>
        <w:tabs>
          <w:tab w:val="num" w:pos="2393"/>
        </w:tabs>
        <w:ind w:left="2393" w:hanging="360"/>
      </w:pPr>
    </w:lvl>
    <w:lvl w:ilvl="5" w:tplc="0809001B" w:tentative="1">
      <w:start w:val="1"/>
      <w:numFmt w:val="lowerRoman"/>
      <w:lvlText w:val="%6."/>
      <w:lvlJc w:val="right"/>
      <w:pPr>
        <w:tabs>
          <w:tab w:val="num" w:pos="3113"/>
        </w:tabs>
        <w:ind w:left="3113" w:hanging="180"/>
      </w:pPr>
    </w:lvl>
    <w:lvl w:ilvl="6" w:tplc="0809000F" w:tentative="1">
      <w:start w:val="1"/>
      <w:numFmt w:val="decimal"/>
      <w:lvlText w:val="%7."/>
      <w:lvlJc w:val="left"/>
      <w:pPr>
        <w:tabs>
          <w:tab w:val="num" w:pos="3833"/>
        </w:tabs>
        <w:ind w:left="3833" w:hanging="360"/>
      </w:pPr>
    </w:lvl>
    <w:lvl w:ilvl="7" w:tplc="08090019" w:tentative="1">
      <w:start w:val="1"/>
      <w:numFmt w:val="lowerLetter"/>
      <w:lvlText w:val="%8."/>
      <w:lvlJc w:val="left"/>
      <w:pPr>
        <w:tabs>
          <w:tab w:val="num" w:pos="4553"/>
        </w:tabs>
        <w:ind w:left="4553" w:hanging="360"/>
      </w:pPr>
    </w:lvl>
    <w:lvl w:ilvl="8" w:tplc="0809001B" w:tentative="1">
      <w:start w:val="1"/>
      <w:numFmt w:val="lowerRoman"/>
      <w:lvlText w:val="%9."/>
      <w:lvlJc w:val="right"/>
      <w:pPr>
        <w:tabs>
          <w:tab w:val="num" w:pos="5273"/>
        </w:tabs>
        <w:ind w:left="5273" w:hanging="180"/>
      </w:pPr>
    </w:lvl>
  </w:abstractNum>
  <w:abstractNum w:abstractNumId="19">
    <w:nsid w:val="45157EFF"/>
    <w:multiLevelType w:val="multilevel"/>
    <w:tmpl w:val="AC62CD68"/>
    <w:lvl w:ilvl="0">
      <w:start w:val="6"/>
      <w:numFmt w:val="decimal"/>
      <w:lvlText w:val="%1"/>
      <w:lvlJc w:val="left"/>
      <w:pPr>
        <w:tabs>
          <w:tab w:val="num" w:pos="855"/>
        </w:tabs>
        <w:ind w:left="855" w:hanging="855"/>
      </w:pPr>
      <w:rPr>
        <w:rFonts w:hint="default"/>
      </w:rPr>
    </w:lvl>
    <w:lvl w:ilvl="1">
      <w:start w:val="1"/>
      <w:numFmt w:val="decimal"/>
      <w:lvlText w:val="%1.%2"/>
      <w:lvlJc w:val="left"/>
      <w:pPr>
        <w:tabs>
          <w:tab w:val="num" w:pos="430"/>
        </w:tabs>
        <w:ind w:left="430" w:hanging="855"/>
      </w:pPr>
      <w:rPr>
        <w:rFonts w:hint="default"/>
      </w:rPr>
    </w:lvl>
    <w:lvl w:ilvl="2">
      <w:start w:val="1"/>
      <w:numFmt w:val="decimal"/>
      <w:lvlText w:val="%1.%2.%3"/>
      <w:lvlJc w:val="left"/>
      <w:pPr>
        <w:tabs>
          <w:tab w:val="num" w:pos="5"/>
        </w:tabs>
        <w:ind w:left="5" w:hanging="855"/>
      </w:pPr>
      <w:rPr>
        <w:rFonts w:hint="default"/>
      </w:rPr>
    </w:lvl>
    <w:lvl w:ilvl="3">
      <w:start w:val="1"/>
      <w:numFmt w:val="decimal"/>
      <w:lvlText w:val="%1.%2.%3.%4"/>
      <w:lvlJc w:val="left"/>
      <w:pPr>
        <w:tabs>
          <w:tab w:val="num" w:pos="-420"/>
        </w:tabs>
        <w:ind w:left="-420" w:hanging="855"/>
      </w:pPr>
      <w:rPr>
        <w:rFonts w:hint="default"/>
      </w:rPr>
    </w:lvl>
    <w:lvl w:ilvl="4">
      <w:start w:val="1"/>
      <w:numFmt w:val="decimal"/>
      <w:lvlText w:val="%1.%2.%3.%4.%5"/>
      <w:lvlJc w:val="left"/>
      <w:pPr>
        <w:tabs>
          <w:tab w:val="num" w:pos="-620"/>
        </w:tabs>
        <w:ind w:left="-620" w:hanging="1080"/>
      </w:pPr>
      <w:rPr>
        <w:rFonts w:hint="default"/>
      </w:rPr>
    </w:lvl>
    <w:lvl w:ilvl="5">
      <w:start w:val="1"/>
      <w:numFmt w:val="decimal"/>
      <w:lvlText w:val="%1.%2.%3.%4.%5.%6"/>
      <w:lvlJc w:val="left"/>
      <w:pPr>
        <w:tabs>
          <w:tab w:val="num" w:pos="-1045"/>
        </w:tabs>
        <w:ind w:left="-1045" w:hanging="1080"/>
      </w:pPr>
      <w:rPr>
        <w:rFonts w:hint="default"/>
      </w:rPr>
    </w:lvl>
    <w:lvl w:ilvl="6">
      <w:start w:val="1"/>
      <w:numFmt w:val="decimal"/>
      <w:lvlText w:val="%1.%2.%3.%4.%5.%6.%7"/>
      <w:lvlJc w:val="left"/>
      <w:pPr>
        <w:tabs>
          <w:tab w:val="num" w:pos="-1110"/>
        </w:tabs>
        <w:ind w:left="-1110" w:hanging="1440"/>
      </w:pPr>
      <w:rPr>
        <w:rFonts w:hint="default"/>
      </w:rPr>
    </w:lvl>
    <w:lvl w:ilvl="7">
      <w:start w:val="1"/>
      <w:numFmt w:val="decimal"/>
      <w:lvlText w:val="%1.%2.%3.%4.%5.%6.%7.%8"/>
      <w:lvlJc w:val="left"/>
      <w:pPr>
        <w:tabs>
          <w:tab w:val="num" w:pos="-1535"/>
        </w:tabs>
        <w:ind w:left="-1535" w:hanging="1440"/>
      </w:pPr>
      <w:rPr>
        <w:rFonts w:hint="default"/>
      </w:rPr>
    </w:lvl>
    <w:lvl w:ilvl="8">
      <w:start w:val="1"/>
      <w:numFmt w:val="decimal"/>
      <w:lvlText w:val="%1.%2.%3.%4.%5.%6.%7.%8.%9"/>
      <w:lvlJc w:val="left"/>
      <w:pPr>
        <w:tabs>
          <w:tab w:val="num" w:pos="-1960"/>
        </w:tabs>
        <w:ind w:left="-1960" w:hanging="1440"/>
      </w:pPr>
      <w:rPr>
        <w:rFonts w:hint="default"/>
      </w:rPr>
    </w:lvl>
  </w:abstractNum>
  <w:abstractNum w:abstractNumId="20">
    <w:nsid w:val="52A26938"/>
    <w:multiLevelType w:val="hybridMultilevel"/>
    <w:tmpl w:val="02A6F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5223935"/>
    <w:multiLevelType w:val="multilevel"/>
    <w:tmpl w:val="D1AADCE4"/>
    <w:lvl w:ilvl="0">
      <w:start w:val="1"/>
      <w:numFmt w:val="decimal"/>
      <w:lvlText w:val="%1"/>
      <w:lvlJc w:val="left"/>
      <w:pPr>
        <w:tabs>
          <w:tab w:val="num" w:pos="780"/>
        </w:tabs>
        <w:ind w:left="780" w:hanging="780"/>
      </w:pPr>
      <w:rPr>
        <w:rFonts w:hint="default"/>
      </w:rPr>
    </w:lvl>
    <w:lvl w:ilvl="1">
      <w:start w:val="11"/>
      <w:numFmt w:val="decimal"/>
      <w:lvlText w:val="%1.%2"/>
      <w:lvlJc w:val="left"/>
      <w:pPr>
        <w:tabs>
          <w:tab w:val="num" w:pos="-71"/>
        </w:tabs>
        <w:ind w:left="-71" w:hanging="780"/>
      </w:pPr>
      <w:rPr>
        <w:rFonts w:hint="default"/>
      </w:rPr>
    </w:lvl>
    <w:lvl w:ilvl="2">
      <w:start w:val="1"/>
      <w:numFmt w:val="decimal"/>
      <w:lvlText w:val="%1.%2.%3"/>
      <w:lvlJc w:val="left"/>
      <w:pPr>
        <w:tabs>
          <w:tab w:val="num" w:pos="-922"/>
        </w:tabs>
        <w:ind w:left="-922" w:hanging="780"/>
      </w:pPr>
      <w:rPr>
        <w:rFonts w:hint="default"/>
      </w:rPr>
    </w:lvl>
    <w:lvl w:ilvl="3">
      <w:start w:val="1"/>
      <w:numFmt w:val="decimal"/>
      <w:lvlText w:val="%1.%2.%3.%4"/>
      <w:lvlJc w:val="left"/>
      <w:pPr>
        <w:tabs>
          <w:tab w:val="num" w:pos="-1773"/>
        </w:tabs>
        <w:ind w:left="-1773" w:hanging="780"/>
      </w:pPr>
      <w:rPr>
        <w:rFonts w:hint="default"/>
      </w:rPr>
    </w:lvl>
    <w:lvl w:ilvl="4">
      <w:start w:val="1"/>
      <w:numFmt w:val="decimal"/>
      <w:lvlText w:val="%1.%2.%3.%4.%5"/>
      <w:lvlJc w:val="left"/>
      <w:pPr>
        <w:tabs>
          <w:tab w:val="num" w:pos="-2324"/>
        </w:tabs>
        <w:ind w:left="-2324" w:hanging="1080"/>
      </w:pPr>
      <w:rPr>
        <w:rFonts w:hint="default"/>
      </w:rPr>
    </w:lvl>
    <w:lvl w:ilvl="5">
      <w:start w:val="1"/>
      <w:numFmt w:val="decimal"/>
      <w:lvlText w:val="%1.%2.%3.%4.%5.%6"/>
      <w:lvlJc w:val="left"/>
      <w:pPr>
        <w:tabs>
          <w:tab w:val="num" w:pos="-3175"/>
        </w:tabs>
        <w:ind w:left="-3175" w:hanging="1080"/>
      </w:pPr>
      <w:rPr>
        <w:rFonts w:hint="default"/>
      </w:rPr>
    </w:lvl>
    <w:lvl w:ilvl="6">
      <w:start w:val="1"/>
      <w:numFmt w:val="decimal"/>
      <w:lvlText w:val="%1.%2.%3.%4.%5.%6.%7"/>
      <w:lvlJc w:val="left"/>
      <w:pPr>
        <w:tabs>
          <w:tab w:val="num" w:pos="-3666"/>
        </w:tabs>
        <w:ind w:left="-3666" w:hanging="1440"/>
      </w:pPr>
      <w:rPr>
        <w:rFonts w:hint="default"/>
      </w:rPr>
    </w:lvl>
    <w:lvl w:ilvl="7">
      <w:start w:val="1"/>
      <w:numFmt w:val="decimal"/>
      <w:lvlText w:val="%1.%2.%3.%4.%5.%6.%7.%8"/>
      <w:lvlJc w:val="left"/>
      <w:pPr>
        <w:tabs>
          <w:tab w:val="num" w:pos="-4517"/>
        </w:tabs>
        <w:ind w:left="-4517" w:hanging="1440"/>
      </w:pPr>
      <w:rPr>
        <w:rFonts w:hint="default"/>
      </w:rPr>
    </w:lvl>
    <w:lvl w:ilvl="8">
      <w:start w:val="1"/>
      <w:numFmt w:val="decimal"/>
      <w:lvlText w:val="%1.%2.%3.%4.%5.%6.%7.%8.%9"/>
      <w:lvlJc w:val="left"/>
      <w:pPr>
        <w:tabs>
          <w:tab w:val="num" w:pos="-5008"/>
        </w:tabs>
        <w:ind w:left="-5008" w:hanging="1800"/>
      </w:pPr>
      <w:rPr>
        <w:rFonts w:hint="default"/>
      </w:rPr>
    </w:lvl>
  </w:abstractNum>
  <w:abstractNum w:abstractNumId="22">
    <w:nsid w:val="558A5B66"/>
    <w:multiLevelType w:val="multilevel"/>
    <w:tmpl w:val="55622A32"/>
    <w:lvl w:ilvl="0">
      <w:start w:val="2"/>
      <w:numFmt w:val="decimal"/>
      <w:lvlText w:val="%1"/>
      <w:lvlJc w:val="left"/>
      <w:pPr>
        <w:tabs>
          <w:tab w:val="num" w:pos="855"/>
        </w:tabs>
        <w:ind w:left="855" w:hanging="855"/>
      </w:pPr>
      <w:rPr>
        <w:rFonts w:hint="default"/>
      </w:rPr>
    </w:lvl>
    <w:lvl w:ilvl="1">
      <w:start w:val="1"/>
      <w:numFmt w:val="decimal"/>
      <w:lvlText w:val="%1.%2"/>
      <w:lvlJc w:val="left"/>
      <w:pPr>
        <w:tabs>
          <w:tab w:val="num" w:pos="430"/>
        </w:tabs>
        <w:ind w:left="430" w:hanging="855"/>
      </w:pPr>
      <w:rPr>
        <w:rFonts w:hint="default"/>
      </w:rPr>
    </w:lvl>
    <w:lvl w:ilvl="2">
      <w:start w:val="2"/>
      <w:numFmt w:val="decimal"/>
      <w:lvlText w:val="%1.%2.%3"/>
      <w:lvlJc w:val="left"/>
      <w:pPr>
        <w:tabs>
          <w:tab w:val="num" w:pos="5"/>
        </w:tabs>
        <w:ind w:left="5" w:hanging="855"/>
      </w:pPr>
      <w:rPr>
        <w:rFonts w:hint="default"/>
      </w:rPr>
    </w:lvl>
    <w:lvl w:ilvl="3">
      <w:start w:val="1"/>
      <w:numFmt w:val="decimal"/>
      <w:lvlText w:val="%1.%2.%3.%4"/>
      <w:lvlJc w:val="left"/>
      <w:pPr>
        <w:tabs>
          <w:tab w:val="num" w:pos="-420"/>
        </w:tabs>
        <w:ind w:left="-420" w:hanging="855"/>
      </w:pPr>
      <w:rPr>
        <w:rFonts w:hint="default"/>
      </w:rPr>
    </w:lvl>
    <w:lvl w:ilvl="4">
      <w:start w:val="1"/>
      <w:numFmt w:val="decimal"/>
      <w:lvlText w:val="%1.%2.%3.%4.%5"/>
      <w:lvlJc w:val="left"/>
      <w:pPr>
        <w:tabs>
          <w:tab w:val="num" w:pos="-620"/>
        </w:tabs>
        <w:ind w:left="-620" w:hanging="1080"/>
      </w:pPr>
      <w:rPr>
        <w:rFonts w:hint="default"/>
      </w:rPr>
    </w:lvl>
    <w:lvl w:ilvl="5">
      <w:start w:val="1"/>
      <w:numFmt w:val="decimal"/>
      <w:lvlText w:val="%1.%2.%3.%4.%5.%6"/>
      <w:lvlJc w:val="left"/>
      <w:pPr>
        <w:tabs>
          <w:tab w:val="num" w:pos="-1045"/>
        </w:tabs>
        <w:ind w:left="-1045" w:hanging="1080"/>
      </w:pPr>
      <w:rPr>
        <w:rFonts w:hint="default"/>
      </w:rPr>
    </w:lvl>
    <w:lvl w:ilvl="6">
      <w:start w:val="1"/>
      <w:numFmt w:val="decimal"/>
      <w:lvlText w:val="%1.%2.%3.%4.%5.%6.%7"/>
      <w:lvlJc w:val="left"/>
      <w:pPr>
        <w:tabs>
          <w:tab w:val="num" w:pos="-1110"/>
        </w:tabs>
        <w:ind w:left="-1110" w:hanging="1440"/>
      </w:pPr>
      <w:rPr>
        <w:rFonts w:hint="default"/>
      </w:rPr>
    </w:lvl>
    <w:lvl w:ilvl="7">
      <w:start w:val="1"/>
      <w:numFmt w:val="decimal"/>
      <w:lvlText w:val="%1.%2.%3.%4.%5.%6.%7.%8"/>
      <w:lvlJc w:val="left"/>
      <w:pPr>
        <w:tabs>
          <w:tab w:val="num" w:pos="-1535"/>
        </w:tabs>
        <w:ind w:left="-1535" w:hanging="1440"/>
      </w:pPr>
      <w:rPr>
        <w:rFonts w:hint="default"/>
      </w:rPr>
    </w:lvl>
    <w:lvl w:ilvl="8">
      <w:start w:val="1"/>
      <w:numFmt w:val="decimal"/>
      <w:lvlText w:val="%1.%2.%3.%4.%5.%6.%7.%8.%9"/>
      <w:lvlJc w:val="left"/>
      <w:pPr>
        <w:tabs>
          <w:tab w:val="num" w:pos="-1960"/>
        </w:tabs>
        <w:ind w:left="-1960" w:hanging="1440"/>
      </w:pPr>
      <w:rPr>
        <w:rFonts w:hint="default"/>
      </w:rPr>
    </w:lvl>
  </w:abstractNum>
  <w:abstractNum w:abstractNumId="23">
    <w:nsid w:val="5A9B3B97"/>
    <w:multiLevelType w:val="singleLevel"/>
    <w:tmpl w:val="0409000F"/>
    <w:lvl w:ilvl="0">
      <w:start w:val="1"/>
      <w:numFmt w:val="decimal"/>
      <w:lvlText w:val="%1."/>
      <w:lvlJc w:val="left"/>
      <w:pPr>
        <w:tabs>
          <w:tab w:val="num" w:pos="360"/>
        </w:tabs>
        <w:ind w:left="360" w:hanging="360"/>
      </w:pPr>
    </w:lvl>
  </w:abstractNum>
  <w:abstractNum w:abstractNumId="24">
    <w:nsid w:val="5D7B74AF"/>
    <w:multiLevelType w:val="multilevel"/>
    <w:tmpl w:val="65A4AA2E"/>
    <w:lvl w:ilvl="0">
      <w:start w:val="6"/>
      <w:numFmt w:val="decimal"/>
      <w:lvlText w:val="%1"/>
      <w:lvlJc w:val="left"/>
      <w:pPr>
        <w:tabs>
          <w:tab w:val="num" w:pos="855"/>
        </w:tabs>
        <w:ind w:left="855" w:hanging="855"/>
      </w:pPr>
      <w:rPr>
        <w:rFonts w:hint="default"/>
      </w:rPr>
    </w:lvl>
    <w:lvl w:ilvl="1">
      <w:start w:val="4"/>
      <w:numFmt w:val="decimal"/>
      <w:lvlText w:val="%1.%2"/>
      <w:lvlJc w:val="left"/>
      <w:pPr>
        <w:tabs>
          <w:tab w:val="num" w:pos="4"/>
        </w:tabs>
        <w:ind w:left="4" w:hanging="855"/>
      </w:pPr>
      <w:rPr>
        <w:rFonts w:hint="default"/>
      </w:rPr>
    </w:lvl>
    <w:lvl w:ilvl="2">
      <w:start w:val="1"/>
      <w:numFmt w:val="decimal"/>
      <w:lvlText w:val="%1.%2.%3"/>
      <w:lvlJc w:val="left"/>
      <w:pPr>
        <w:tabs>
          <w:tab w:val="num" w:pos="-847"/>
        </w:tabs>
        <w:ind w:left="-847" w:hanging="855"/>
      </w:pPr>
      <w:rPr>
        <w:rFonts w:hint="default"/>
      </w:rPr>
    </w:lvl>
    <w:lvl w:ilvl="3">
      <w:start w:val="1"/>
      <w:numFmt w:val="decimal"/>
      <w:lvlText w:val="%1.%2.%3.%4"/>
      <w:lvlJc w:val="left"/>
      <w:pPr>
        <w:tabs>
          <w:tab w:val="num" w:pos="-1698"/>
        </w:tabs>
        <w:ind w:left="-1698" w:hanging="855"/>
      </w:pPr>
      <w:rPr>
        <w:rFonts w:hint="default"/>
      </w:rPr>
    </w:lvl>
    <w:lvl w:ilvl="4">
      <w:start w:val="1"/>
      <w:numFmt w:val="decimal"/>
      <w:lvlText w:val="%1.%2.%3.%4.%5"/>
      <w:lvlJc w:val="left"/>
      <w:pPr>
        <w:tabs>
          <w:tab w:val="num" w:pos="-2324"/>
        </w:tabs>
        <w:ind w:left="-2324" w:hanging="1080"/>
      </w:pPr>
      <w:rPr>
        <w:rFonts w:hint="default"/>
      </w:rPr>
    </w:lvl>
    <w:lvl w:ilvl="5">
      <w:start w:val="1"/>
      <w:numFmt w:val="decimal"/>
      <w:lvlText w:val="%1.%2.%3.%4.%5.%6"/>
      <w:lvlJc w:val="left"/>
      <w:pPr>
        <w:tabs>
          <w:tab w:val="num" w:pos="-3175"/>
        </w:tabs>
        <w:ind w:left="-3175" w:hanging="1080"/>
      </w:pPr>
      <w:rPr>
        <w:rFonts w:hint="default"/>
      </w:rPr>
    </w:lvl>
    <w:lvl w:ilvl="6">
      <w:start w:val="1"/>
      <w:numFmt w:val="decimal"/>
      <w:lvlText w:val="%1.%2.%3.%4.%5.%6.%7"/>
      <w:lvlJc w:val="left"/>
      <w:pPr>
        <w:tabs>
          <w:tab w:val="num" w:pos="-3666"/>
        </w:tabs>
        <w:ind w:left="-3666" w:hanging="1440"/>
      </w:pPr>
      <w:rPr>
        <w:rFonts w:hint="default"/>
      </w:rPr>
    </w:lvl>
    <w:lvl w:ilvl="7">
      <w:start w:val="1"/>
      <w:numFmt w:val="decimal"/>
      <w:lvlText w:val="%1.%2.%3.%4.%5.%6.%7.%8"/>
      <w:lvlJc w:val="left"/>
      <w:pPr>
        <w:tabs>
          <w:tab w:val="num" w:pos="-4517"/>
        </w:tabs>
        <w:ind w:left="-4517" w:hanging="1440"/>
      </w:pPr>
      <w:rPr>
        <w:rFonts w:hint="default"/>
      </w:rPr>
    </w:lvl>
    <w:lvl w:ilvl="8">
      <w:start w:val="1"/>
      <w:numFmt w:val="decimal"/>
      <w:lvlText w:val="%1.%2.%3.%4.%5.%6.%7.%8.%9"/>
      <w:lvlJc w:val="left"/>
      <w:pPr>
        <w:tabs>
          <w:tab w:val="num" w:pos="-5368"/>
        </w:tabs>
        <w:ind w:left="-5368" w:hanging="1440"/>
      </w:pPr>
      <w:rPr>
        <w:rFonts w:hint="default"/>
      </w:rPr>
    </w:lvl>
  </w:abstractNum>
  <w:abstractNum w:abstractNumId="25">
    <w:nsid w:val="5DE26BF8"/>
    <w:multiLevelType w:val="multilevel"/>
    <w:tmpl w:val="BFE8BE96"/>
    <w:lvl w:ilvl="0">
      <w:start w:val="3"/>
      <w:numFmt w:val="decimal"/>
      <w:lvlText w:val="%1"/>
      <w:lvlJc w:val="left"/>
      <w:pPr>
        <w:tabs>
          <w:tab w:val="num" w:pos="900"/>
        </w:tabs>
        <w:ind w:left="900" w:hanging="900"/>
      </w:pPr>
      <w:rPr>
        <w:rFonts w:hint="default"/>
      </w:rPr>
    </w:lvl>
    <w:lvl w:ilvl="1">
      <w:start w:val="1"/>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1800"/>
        </w:tabs>
        <w:ind w:left="-1800" w:hanging="90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420"/>
        </w:tabs>
        <w:ind w:left="-342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860"/>
        </w:tabs>
        <w:ind w:left="-4860" w:hanging="1440"/>
      </w:pPr>
      <w:rPr>
        <w:rFonts w:hint="default"/>
      </w:rPr>
    </w:lvl>
    <w:lvl w:ilvl="8">
      <w:start w:val="1"/>
      <w:numFmt w:val="decimal"/>
      <w:lvlText w:val="%1.%2.%3.%4.%5.%6.%7.%8.%9"/>
      <w:lvlJc w:val="left"/>
      <w:pPr>
        <w:tabs>
          <w:tab w:val="num" w:pos="-5760"/>
        </w:tabs>
        <w:ind w:left="-5760" w:hanging="1440"/>
      </w:pPr>
      <w:rPr>
        <w:rFonts w:hint="default"/>
      </w:rPr>
    </w:lvl>
  </w:abstractNum>
  <w:abstractNum w:abstractNumId="26">
    <w:nsid w:val="60FA31FB"/>
    <w:multiLevelType w:val="hybridMultilevel"/>
    <w:tmpl w:val="EC1A5C42"/>
    <w:lvl w:ilvl="0">
      <w:start w:val="1"/>
      <w:numFmt w:val="decimal"/>
      <w:lvlText w:val="%1"/>
      <w:lvlJc w:val="left"/>
      <w:pPr>
        <w:tabs>
          <w:tab w:val="num" w:pos="4"/>
        </w:tabs>
        <w:ind w:left="4" w:hanging="855"/>
      </w:pPr>
      <w:rPr>
        <w:rFonts w:hint="default"/>
      </w:rPr>
    </w:lvl>
    <w:lvl w:ilvl="1" w:tentative="1">
      <w:start w:val="1"/>
      <w:numFmt w:val="lowerLetter"/>
      <w:lvlText w:val="%2."/>
      <w:lvlJc w:val="left"/>
      <w:pPr>
        <w:tabs>
          <w:tab w:val="num" w:pos="229"/>
        </w:tabs>
        <w:ind w:left="229" w:hanging="360"/>
      </w:pPr>
    </w:lvl>
    <w:lvl w:ilvl="2" w:tentative="1">
      <w:start w:val="1"/>
      <w:numFmt w:val="lowerRoman"/>
      <w:lvlText w:val="%3."/>
      <w:lvlJc w:val="right"/>
      <w:pPr>
        <w:tabs>
          <w:tab w:val="num" w:pos="949"/>
        </w:tabs>
        <w:ind w:left="949" w:hanging="180"/>
      </w:pPr>
    </w:lvl>
    <w:lvl w:ilvl="3" w:tentative="1">
      <w:start w:val="1"/>
      <w:numFmt w:val="decimal"/>
      <w:lvlText w:val="%4."/>
      <w:lvlJc w:val="left"/>
      <w:pPr>
        <w:tabs>
          <w:tab w:val="num" w:pos="1669"/>
        </w:tabs>
        <w:ind w:left="1669" w:hanging="360"/>
      </w:pPr>
    </w:lvl>
    <w:lvl w:ilvl="4" w:tentative="1">
      <w:start w:val="1"/>
      <w:numFmt w:val="lowerLetter"/>
      <w:lvlText w:val="%5."/>
      <w:lvlJc w:val="left"/>
      <w:pPr>
        <w:tabs>
          <w:tab w:val="num" w:pos="2389"/>
        </w:tabs>
        <w:ind w:left="2389" w:hanging="360"/>
      </w:pPr>
    </w:lvl>
    <w:lvl w:ilvl="5" w:tentative="1">
      <w:start w:val="1"/>
      <w:numFmt w:val="lowerRoman"/>
      <w:lvlText w:val="%6."/>
      <w:lvlJc w:val="right"/>
      <w:pPr>
        <w:tabs>
          <w:tab w:val="num" w:pos="3109"/>
        </w:tabs>
        <w:ind w:left="3109" w:hanging="180"/>
      </w:pPr>
    </w:lvl>
    <w:lvl w:ilvl="6" w:tentative="1">
      <w:start w:val="1"/>
      <w:numFmt w:val="decimal"/>
      <w:lvlText w:val="%7."/>
      <w:lvlJc w:val="left"/>
      <w:pPr>
        <w:tabs>
          <w:tab w:val="num" w:pos="3829"/>
        </w:tabs>
        <w:ind w:left="3829" w:hanging="360"/>
      </w:pPr>
    </w:lvl>
    <w:lvl w:ilvl="7" w:tentative="1">
      <w:start w:val="1"/>
      <w:numFmt w:val="lowerLetter"/>
      <w:lvlText w:val="%8."/>
      <w:lvlJc w:val="left"/>
      <w:pPr>
        <w:tabs>
          <w:tab w:val="num" w:pos="4549"/>
        </w:tabs>
        <w:ind w:left="4549" w:hanging="360"/>
      </w:pPr>
    </w:lvl>
    <w:lvl w:ilvl="8" w:tentative="1">
      <w:start w:val="1"/>
      <w:numFmt w:val="lowerRoman"/>
      <w:lvlText w:val="%9."/>
      <w:lvlJc w:val="right"/>
      <w:pPr>
        <w:tabs>
          <w:tab w:val="num" w:pos="5269"/>
        </w:tabs>
        <w:ind w:left="5269" w:hanging="180"/>
      </w:pPr>
    </w:lvl>
  </w:abstractNum>
  <w:abstractNum w:abstractNumId="27">
    <w:nsid w:val="67380CB5"/>
    <w:multiLevelType w:val="hybridMultilevel"/>
    <w:tmpl w:val="475E4862"/>
    <w:lvl w:ilvl="0" w:tplc="ACE2D25C">
      <w:start w:val="1"/>
      <w:numFmt w:val="bullet"/>
      <w:pStyle w:val="Bullet2"/>
      <w:lvlText w:val="-"/>
      <w:lvlJc w:val="left"/>
      <w:pPr>
        <w:tabs>
          <w:tab w:val="num" w:pos="1498"/>
        </w:tabs>
        <w:ind w:left="1498" w:hanging="360"/>
      </w:pPr>
      <w:rPr>
        <w:rFonts w:ascii="Times New Roman" w:hAnsi="Times New Roman" w:cs="Times New Roman" w:hint="default"/>
      </w:rPr>
    </w:lvl>
    <w:lvl w:ilvl="1" w:tplc="04090003" w:tentative="1">
      <w:start w:val="1"/>
      <w:numFmt w:val="bullet"/>
      <w:lvlText w:val="o"/>
      <w:lvlJc w:val="left"/>
      <w:pPr>
        <w:tabs>
          <w:tab w:val="num" w:pos="1792"/>
        </w:tabs>
        <w:ind w:left="1792" w:hanging="360"/>
      </w:pPr>
      <w:rPr>
        <w:rFonts w:ascii="Courier New" w:hAnsi="Courier New" w:cs="Courier New" w:hint="default"/>
      </w:rPr>
    </w:lvl>
    <w:lvl w:ilvl="2" w:tplc="04090005" w:tentative="1">
      <w:start w:val="1"/>
      <w:numFmt w:val="bullet"/>
      <w:lvlText w:val=""/>
      <w:lvlJc w:val="left"/>
      <w:pPr>
        <w:tabs>
          <w:tab w:val="num" w:pos="2512"/>
        </w:tabs>
        <w:ind w:left="2512" w:hanging="360"/>
      </w:pPr>
      <w:rPr>
        <w:rFonts w:ascii="Wingdings" w:hAnsi="Wingdings" w:hint="default"/>
      </w:rPr>
    </w:lvl>
    <w:lvl w:ilvl="3" w:tplc="04090001" w:tentative="1">
      <w:start w:val="1"/>
      <w:numFmt w:val="bullet"/>
      <w:lvlText w:val=""/>
      <w:lvlJc w:val="left"/>
      <w:pPr>
        <w:tabs>
          <w:tab w:val="num" w:pos="3232"/>
        </w:tabs>
        <w:ind w:left="3232" w:hanging="360"/>
      </w:pPr>
      <w:rPr>
        <w:rFonts w:ascii="Symbol" w:hAnsi="Symbol" w:hint="default"/>
      </w:rPr>
    </w:lvl>
    <w:lvl w:ilvl="4" w:tplc="04090003" w:tentative="1">
      <w:start w:val="1"/>
      <w:numFmt w:val="bullet"/>
      <w:lvlText w:val="o"/>
      <w:lvlJc w:val="left"/>
      <w:pPr>
        <w:tabs>
          <w:tab w:val="num" w:pos="3952"/>
        </w:tabs>
        <w:ind w:left="3952" w:hanging="360"/>
      </w:pPr>
      <w:rPr>
        <w:rFonts w:ascii="Courier New" w:hAnsi="Courier New" w:cs="Courier New" w:hint="default"/>
      </w:rPr>
    </w:lvl>
    <w:lvl w:ilvl="5" w:tplc="04090005" w:tentative="1">
      <w:start w:val="1"/>
      <w:numFmt w:val="bullet"/>
      <w:lvlText w:val=""/>
      <w:lvlJc w:val="left"/>
      <w:pPr>
        <w:tabs>
          <w:tab w:val="num" w:pos="4672"/>
        </w:tabs>
        <w:ind w:left="4672" w:hanging="360"/>
      </w:pPr>
      <w:rPr>
        <w:rFonts w:ascii="Wingdings" w:hAnsi="Wingdings" w:hint="default"/>
      </w:rPr>
    </w:lvl>
    <w:lvl w:ilvl="6" w:tplc="04090001" w:tentative="1">
      <w:start w:val="1"/>
      <w:numFmt w:val="bullet"/>
      <w:lvlText w:val=""/>
      <w:lvlJc w:val="left"/>
      <w:pPr>
        <w:tabs>
          <w:tab w:val="num" w:pos="5392"/>
        </w:tabs>
        <w:ind w:left="5392" w:hanging="360"/>
      </w:pPr>
      <w:rPr>
        <w:rFonts w:ascii="Symbol" w:hAnsi="Symbol" w:hint="default"/>
      </w:rPr>
    </w:lvl>
    <w:lvl w:ilvl="7" w:tplc="04090003" w:tentative="1">
      <w:start w:val="1"/>
      <w:numFmt w:val="bullet"/>
      <w:lvlText w:val="o"/>
      <w:lvlJc w:val="left"/>
      <w:pPr>
        <w:tabs>
          <w:tab w:val="num" w:pos="6112"/>
        </w:tabs>
        <w:ind w:left="6112" w:hanging="360"/>
      </w:pPr>
      <w:rPr>
        <w:rFonts w:ascii="Courier New" w:hAnsi="Courier New" w:cs="Courier New" w:hint="default"/>
      </w:rPr>
    </w:lvl>
    <w:lvl w:ilvl="8" w:tplc="04090005" w:tentative="1">
      <w:start w:val="1"/>
      <w:numFmt w:val="bullet"/>
      <w:lvlText w:val=""/>
      <w:lvlJc w:val="left"/>
      <w:pPr>
        <w:tabs>
          <w:tab w:val="num" w:pos="6832"/>
        </w:tabs>
        <w:ind w:left="6832" w:hanging="360"/>
      </w:pPr>
      <w:rPr>
        <w:rFonts w:ascii="Wingdings" w:hAnsi="Wingdings" w:hint="default"/>
      </w:rPr>
    </w:lvl>
  </w:abstractNum>
  <w:abstractNum w:abstractNumId="28">
    <w:nsid w:val="677A7E09"/>
    <w:multiLevelType w:val="multilevel"/>
    <w:tmpl w:val="0AC46876"/>
    <w:lvl w:ilvl="0">
      <w:start w:val="6"/>
      <w:numFmt w:val="decimal"/>
      <w:lvlText w:val="%1"/>
      <w:lvlJc w:val="left"/>
      <w:pPr>
        <w:tabs>
          <w:tab w:val="num" w:pos="870"/>
        </w:tabs>
        <w:ind w:left="870" w:hanging="870"/>
      </w:pPr>
      <w:rPr>
        <w:rFonts w:hint="default"/>
      </w:rPr>
    </w:lvl>
    <w:lvl w:ilvl="1">
      <w:start w:val="2"/>
      <w:numFmt w:val="decimal"/>
      <w:lvlText w:val="%1.%2"/>
      <w:lvlJc w:val="left"/>
      <w:pPr>
        <w:tabs>
          <w:tab w:val="num" w:pos="870"/>
        </w:tabs>
        <w:ind w:left="870" w:hanging="870"/>
      </w:pPr>
      <w:rPr>
        <w:rFonts w:hint="default"/>
      </w:rPr>
    </w:lvl>
    <w:lvl w:ilvl="2">
      <w:start w:val="1"/>
      <w:numFmt w:val="decimal"/>
      <w:lvlText w:val="%1.%2.%3"/>
      <w:lvlJc w:val="left"/>
      <w:pPr>
        <w:tabs>
          <w:tab w:val="num" w:pos="-832"/>
        </w:tabs>
        <w:ind w:left="-832" w:hanging="870"/>
      </w:pPr>
      <w:rPr>
        <w:rFonts w:hint="default"/>
      </w:rPr>
    </w:lvl>
    <w:lvl w:ilvl="3">
      <w:start w:val="1"/>
      <w:numFmt w:val="decimal"/>
      <w:lvlText w:val="%1.%2.%3.%4"/>
      <w:lvlJc w:val="left"/>
      <w:pPr>
        <w:tabs>
          <w:tab w:val="num" w:pos="-1683"/>
        </w:tabs>
        <w:ind w:left="-1683" w:hanging="870"/>
      </w:pPr>
      <w:rPr>
        <w:rFonts w:hint="default"/>
      </w:rPr>
    </w:lvl>
    <w:lvl w:ilvl="4">
      <w:start w:val="1"/>
      <w:numFmt w:val="decimal"/>
      <w:lvlText w:val="%1.%2.%3.%4.%5"/>
      <w:lvlJc w:val="left"/>
      <w:pPr>
        <w:tabs>
          <w:tab w:val="num" w:pos="-2324"/>
        </w:tabs>
        <w:ind w:left="-2324" w:hanging="1080"/>
      </w:pPr>
      <w:rPr>
        <w:rFonts w:hint="default"/>
      </w:rPr>
    </w:lvl>
    <w:lvl w:ilvl="5">
      <w:start w:val="1"/>
      <w:numFmt w:val="decimal"/>
      <w:lvlText w:val="%1.%2.%3.%4.%5.%6"/>
      <w:lvlJc w:val="left"/>
      <w:pPr>
        <w:tabs>
          <w:tab w:val="num" w:pos="-3175"/>
        </w:tabs>
        <w:ind w:left="-3175" w:hanging="1080"/>
      </w:pPr>
      <w:rPr>
        <w:rFonts w:hint="default"/>
      </w:rPr>
    </w:lvl>
    <w:lvl w:ilvl="6">
      <w:start w:val="1"/>
      <w:numFmt w:val="decimal"/>
      <w:lvlText w:val="%1.%2.%3.%4.%5.%6.%7"/>
      <w:lvlJc w:val="left"/>
      <w:pPr>
        <w:tabs>
          <w:tab w:val="num" w:pos="-3666"/>
        </w:tabs>
        <w:ind w:left="-3666" w:hanging="1440"/>
      </w:pPr>
      <w:rPr>
        <w:rFonts w:hint="default"/>
      </w:rPr>
    </w:lvl>
    <w:lvl w:ilvl="7">
      <w:start w:val="1"/>
      <w:numFmt w:val="decimal"/>
      <w:lvlText w:val="%1.%2.%3.%4.%5.%6.%7.%8"/>
      <w:lvlJc w:val="left"/>
      <w:pPr>
        <w:tabs>
          <w:tab w:val="num" w:pos="-4517"/>
        </w:tabs>
        <w:ind w:left="-4517" w:hanging="1440"/>
      </w:pPr>
      <w:rPr>
        <w:rFonts w:hint="default"/>
      </w:rPr>
    </w:lvl>
    <w:lvl w:ilvl="8">
      <w:start w:val="1"/>
      <w:numFmt w:val="decimal"/>
      <w:lvlText w:val="%1.%2.%3.%4.%5.%6.%7.%8.%9"/>
      <w:lvlJc w:val="left"/>
      <w:pPr>
        <w:tabs>
          <w:tab w:val="num" w:pos="-5368"/>
        </w:tabs>
        <w:ind w:left="-5368" w:hanging="1440"/>
      </w:pPr>
      <w:rPr>
        <w:rFonts w:hint="default"/>
      </w:rPr>
    </w:lvl>
  </w:abstractNum>
  <w:abstractNum w:abstractNumId="29">
    <w:nsid w:val="69FB150F"/>
    <w:multiLevelType w:val="multilevel"/>
    <w:tmpl w:val="2E78FE02"/>
    <w:lvl w:ilvl="0">
      <w:start w:val="2"/>
      <w:numFmt w:val="decimal"/>
      <w:lvlText w:val="%1"/>
      <w:lvlJc w:val="left"/>
      <w:pPr>
        <w:tabs>
          <w:tab w:val="num" w:pos="900"/>
        </w:tabs>
        <w:ind w:left="900" w:hanging="900"/>
      </w:pPr>
      <w:rPr>
        <w:rFonts w:hint="default"/>
        <w:i/>
      </w:rPr>
    </w:lvl>
    <w:lvl w:ilvl="1">
      <w:start w:val="1"/>
      <w:numFmt w:val="decimal"/>
      <w:lvlText w:val="%1.%2"/>
      <w:lvlJc w:val="left"/>
      <w:pPr>
        <w:tabs>
          <w:tab w:val="num" w:pos="450"/>
        </w:tabs>
        <w:ind w:left="450" w:hanging="900"/>
      </w:pPr>
      <w:rPr>
        <w:rFonts w:hint="default"/>
        <w:i/>
      </w:rPr>
    </w:lvl>
    <w:lvl w:ilvl="2">
      <w:start w:val="1"/>
      <w:numFmt w:val="decimal"/>
      <w:lvlText w:val="%1.%2.%3"/>
      <w:lvlJc w:val="left"/>
      <w:pPr>
        <w:tabs>
          <w:tab w:val="num" w:pos="0"/>
        </w:tabs>
        <w:ind w:left="0" w:hanging="900"/>
      </w:pPr>
      <w:rPr>
        <w:rFonts w:hint="default"/>
        <w:i/>
      </w:rPr>
    </w:lvl>
    <w:lvl w:ilvl="3">
      <w:start w:val="1"/>
      <w:numFmt w:val="decimal"/>
      <w:lvlText w:val="%1.%2.%3.%4"/>
      <w:lvlJc w:val="left"/>
      <w:pPr>
        <w:tabs>
          <w:tab w:val="num" w:pos="-450"/>
        </w:tabs>
        <w:ind w:left="-450" w:hanging="900"/>
      </w:pPr>
      <w:rPr>
        <w:rFonts w:hint="default"/>
        <w:i/>
      </w:rPr>
    </w:lvl>
    <w:lvl w:ilvl="4">
      <w:start w:val="1"/>
      <w:numFmt w:val="decimal"/>
      <w:lvlText w:val="%1.%2.%3.%4.%5"/>
      <w:lvlJc w:val="left"/>
      <w:pPr>
        <w:tabs>
          <w:tab w:val="num" w:pos="-720"/>
        </w:tabs>
        <w:ind w:left="-720" w:hanging="1080"/>
      </w:pPr>
      <w:rPr>
        <w:rFonts w:hint="default"/>
        <w:i/>
      </w:rPr>
    </w:lvl>
    <w:lvl w:ilvl="5">
      <w:start w:val="1"/>
      <w:numFmt w:val="decimal"/>
      <w:lvlText w:val="%1.%2.%3.%4.%5.%6"/>
      <w:lvlJc w:val="left"/>
      <w:pPr>
        <w:tabs>
          <w:tab w:val="num" w:pos="-1170"/>
        </w:tabs>
        <w:ind w:left="-1170" w:hanging="1080"/>
      </w:pPr>
      <w:rPr>
        <w:rFonts w:hint="default"/>
        <w:i/>
      </w:rPr>
    </w:lvl>
    <w:lvl w:ilvl="6">
      <w:start w:val="1"/>
      <w:numFmt w:val="decimal"/>
      <w:lvlText w:val="%1.%2.%3.%4.%5.%6.%7"/>
      <w:lvlJc w:val="left"/>
      <w:pPr>
        <w:tabs>
          <w:tab w:val="num" w:pos="-1260"/>
        </w:tabs>
        <w:ind w:left="-1260" w:hanging="1440"/>
      </w:pPr>
      <w:rPr>
        <w:rFonts w:hint="default"/>
        <w:i/>
      </w:rPr>
    </w:lvl>
    <w:lvl w:ilvl="7">
      <w:start w:val="1"/>
      <w:numFmt w:val="decimal"/>
      <w:lvlText w:val="%1.%2.%3.%4.%5.%6.%7.%8"/>
      <w:lvlJc w:val="left"/>
      <w:pPr>
        <w:tabs>
          <w:tab w:val="num" w:pos="-1710"/>
        </w:tabs>
        <w:ind w:left="-1710" w:hanging="1440"/>
      </w:pPr>
      <w:rPr>
        <w:rFonts w:hint="default"/>
        <w:i/>
      </w:rPr>
    </w:lvl>
    <w:lvl w:ilvl="8">
      <w:start w:val="1"/>
      <w:numFmt w:val="decimal"/>
      <w:lvlText w:val="%1.%2.%3.%4.%5.%6.%7.%8.%9"/>
      <w:lvlJc w:val="left"/>
      <w:pPr>
        <w:tabs>
          <w:tab w:val="num" w:pos="-2160"/>
        </w:tabs>
        <w:ind w:left="-2160" w:hanging="1440"/>
      </w:pPr>
      <w:rPr>
        <w:rFonts w:hint="default"/>
        <w:i/>
      </w:rPr>
    </w:lvl>
  </w:abstractNum>
  <w:abstractNum w:abstractNumId="30">
    <w:nsid w:val="6C0F37E5"/>
    <w:multiLevelType w:val="hybridMultilevel"/>
    <w:tmpl w:val="1140371E"/>
    <w:lvl w:ilvl="0" w:tplc="8F1EE45C">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nsid w:val="72F56587"/>
    <w:multiLevelType w:val="multilevel"/>
    <w:tmpl w:val="8788F826"/>
    <w:lvl w:ilvl="0">
      <w:start w:val="3"/>
      <w:numFmt w:val="decimal"/>
      <w:lvlText w:val="%1"/>
      <w:lvlJc w:val="left"/>
      <w:pPr>
        <w:tabs>
          <w:tab w:val="num" w:pos="855"/>
        </w:tabs>
        <w:ind w:left="855" w:hanging="855"/>
      </w:pPr>
      <w:rPr>
        <w:rFonts w:hint="default"/>
      </w:rPr>
    </w:lvl>
    <w:lvl w:ilvl="1">
      <w:start w:val="3"/>
      <w:numFmt w:val="decimal"/>
      <w:lvlText w:val="%1.%2"/>
      <w:lvlJc w:val="left"/>
      <w:pPr>
        <w:tabs>
          <w:tab w:val="num" w:pos="4"/>
        </w:tabs>
        <w:ind w:left="4" w:hanging="855"/>
      </w:pPr>
      <w:rPr>
        <w:rFonts w:hint="default"/>
      </w:rPr>
    </w:lvl>
    <w:lvl w:ilvl="2">
      <w:start w:val="1"/>
      <w:numFmt w:val="decimal"/>
      <w:lvlText w:val="%1.%2.%3"/>
      <w:lvlJc w:val="left"/>
      <w:pPr>
        <w:tabs>
          <w:tab w:val="num" w:pos="-847"/>
        </w:tabs>
        <w:ind w:left="-847" w:hanging="855"/>
      </w:pPr>
      <w:rPr>
        <w:rFonts w:hint="default"/>
      </w:rPr>
    </w:lvl>
    <w:lvl w:ilvl="3">
      <w:start w:val="1"/>
      <w:numFmt w:val="decimal"/>
      <w:lvlText w:val="%1.%2.%3.%4"/>
      <w:lvlJc w:val="left"/>
      <w:pPr>
        <w:tabs>
          <w:tab w:val="num" w:pos="-1698"/>
        </w:tabs>
        <w:ind w:left="-1698" w:hanging="855"/>
      </w:pPr>
      <w:rPr>
        <w:rFonts w:hint="default"/>
      </w:rPr>
    </w:lvl>
    <w:lvl w:ilvl="4">
      <w:start w:val="1"/>
      <w:numFmt w:val="decimal"/>
      <w:lvlText w:val="%1.%2.%3.%4.%5"/>
      <w:lvlJc w:val="left"/>
      <w:pPr>
        <w:tabs>
          <w:tab w:val="num" w:pos="-2324"/>
        </w:tabs>
        <w:ind w:left="-2324" w:hanging="1080"/>
      </w:pPr>
      <w:rPr>
        <w:rFonts w:hint="default"/>
      </w:rPr>
    </w:lvl>
    <w:lvl w:ilvl="5">
      <w:start w:val="1"/>
      <w:numFmt w:val="decimal"/>
      <w:lvlText w:val="%1.%2.%3.%4.%5.%6"/>
      <w:lvlJc w:val="left"/>
      <w:pPr>
        <w:tabs>
          <w:tab w:val="num" w:pos="-3175"/>
        </w:tabs>
        <w:ind w:left="-3175" w:hanging="1080"/>
      </w:pPr>
      <w:rPr>
        <w:rFonts w:hint="default"/>
      </w:rPr>
    </w:lvl>
    <w:lvl w:ilvl="6">
      <w:start w:val="1"/>
      <w:numFmt w:val="decimal"/>
      <w:lvlText w:val="%1.%2.%3.%4.%5.%6.%7"/>
      <w:lvlJc w:val="left"/>
      <w:pPr>
        <w:tabs>
          <w:tab w:val="num" w:pos="-3666"/>
        </w:tabs>
        <w:ind w:left="-3666" w:hanging="1440"/>
      </w:pPr>
      <w:rPr>
        <w:rFonts w:hint="default"/>
      </w:rPr>
    </w:lvl>
    <w:lvl w:ilvl="7">
      <w:start w:val="1"/>
      <w:numFmt w:val="decimal"/>
      <w:lvlText w:val="%1.%2.%3.%4.%5.%6.%7.%8"/>
      <w:lvlJc w:val="left"/>
      <w:pPr>
        <w:tabs>
          <w:tab w:val="num" w:pos="-4517"/>
        </w:tabs>
        <w:ind w:left="-4517" w:hanging="1440"/>
      </w:pPr>
      <w:rPr>
        <w:rFonts w:hint="default"/>
      </w:rPr>
    </w:lvl>
    <w:lvl w:ilvl="8">
      <w:start w:val="1"/>
      <w:numFmt w:val="decimal"/>
      <w:lvlText w:val="%1.%2.%3.%4.%5.%6.%7.%8.%9"/>
      <w:lvlJc w:val="left"/>
      <w:pPr>
        <w:tabs>
          <w:tab w:val="num" w:pos="-5368"/>
        </w:tabs>
        <w:ind w:left="-5368" w:hanging="1440"/>
      </w:pPr>
      <w:rPr>
        <w:rFonts w:hint="default"/>
      </w:rPr>
    </w:lvl>
  </w:abstractNum>
  <w:abstractNum w:abstractNumId="32">
    <w:nsid w:val="73C63835"/>
    <w:multiLevelType w:val="multilevel"/>
    <w:tmpl w:val="20A25668"/>
    <w:lvl w:ilvl="0">
      <w:start w:val="2"/>
      <w:numFmt w:val="decimal"/>
      <w:lvlText w:val="%1"/>
      <w:lvlJc w:val="left"/>
      <w:pPr>
        <w:tabs>
          <w:tab w:val="num" w:pos="900"/>
        </w:tabs>
        <w:ind w:left="900" w:hanging="900"/>
      </w:pPr>
      <w:rPr>
        <w:rFonts w:hint="default"/>
        <w:i/>
      </w:rPr>
    </w:lvl>
    <w:lvl w:ilvl="1">
      <w:start w:val="2"/>
      <w:numFmt w:val="decimal"/>
      <w:lvlText w:val="%1.%2"/>
      <w:lvlJc w:val="left"/>
      <w:pPr>
        <w:tabs>
          <w:tab w:val="num" w:pos="450"/>
        </w:tabs>
        <w:ind w:left="450" w:hanging="900"/>
      </w:pPr>
      <w:rPr>
        <w:rFonts w:hint="default"/>
        <w:i/>
      </w:rPr>
    </w:lvl>
    <w:lvl w:ilvl="2">
      <w:start w:val="1"/>
      <w:numFmt w:val="decimal"/>
      <w:lvlText w:val="%1.%2.%3"/>
      <w:lvlJc w:val="left"/>
      <w:pPr>
        <w:tabs>
          <w:tab w:val="num" w:pos="0"/>
        </w:tabs>
        <w:ind w:left="0" w:hanging="900"/>
      </w:pPr>
      <w:rPr>
        <w:rFonts w:hint="default"/>
        <w:i/>
      </w:rPr>
    </w:lvl>
    <w:lvl w:ilvl="3">
      <w:start w:val="1"/>
      <w:numFmt w:val="decimal"/>
      <w:lvlText w:val="%1.%2.%3.%4"/>
      <w:lvlJc w:val="left"/>
      <w:pPr>
        <w:tabs>
          <w:tab w:val="num" w:pos="-450"/>
        </w:tabs>
        <w:ind w:left="-450" w:hanging="900"/>
      </w:pPr>
      <w:rPr>
        <w:rFonts w:hint="default"/>
        <w:i/>
      </w:rPr>
    </w:lvl>
    <w:lvl w:ilvl="4">
      <w:start w:val="1"/>
      <w:numFmt w:val="decimal"/>
      <w:lvlText w:val="%1.%2.%3.%4.%5"/>
      <w:lvlJc w:val="left"/>
      <w:pPr>
        <w:tabs>
          <w:tab w:val="num" w:pos="-720"/>
        </w:tabs>
        <w:ind w:left="-720" w:hanging="1080"/>
      </w:pPr>
      <w:rPr>
        <w:rFonts w:hint="default"/>
        <w:i/>
      </w:rPr>
    </w:lvl>
    <w:lvl w:ilvl="5">
      <w:start w:val="1"/>
      <w:numFmt w:val="decimal"/>
      <w:lvlText w:val="%1.%2.%3.%4.%5.%6"/>
      <w:lvlJc w:val="left"/>
      <w:pPr>
        <w:tabs>
          <w:tab w:val="num" w:pos="-1170"/>
        </w:tabs>
        <w:ind w:left="-1170" w:hanging="1080"/>
      </w:pPr>
      <w:rPr>
        <w:rFonts w:hint="default"/>
        <w:i/>
      </w:rPr>
    </w:lvl>
    <w:lvl w:ilvl="6">
      <w:start w:val="1"/>
      <w:numFmt w:val="decimal"/>
      <w:lvlText w:val="%1.%2.%3.%4.%5.%6.%7"/>
      <w:lvlJc w:val="left"/>
      <w:pPr>
        <w:tabs>
          <w:tab w:val="num" w:pos="-1260"/>
        </w:tabs>
        <w:ind w:left="-1260" w:hanging="1440"/>
      </w:pPr>
      <w:rPr>
        <w:rFonts w:hint="default"/>
        <w:i/>
      </w:rPr>
    </w:lvl>
    <w:lvl w:ilvl="7">
      <w:start w:val="1"/>
      <w:numFmt w:val="decimal"/>
      <w:lvlText w:val="%1.%2.%3.%4.%5.%6.%7.%8"/>
      <w:lvlJc w:val="left"/>
      <w:pPr>
        <w:tabs>
          <w:tab w:val="num" w:pos="-1710"/>
        </w:tabs>
        <w:ind w:left="-1710" w:hanging="1440"/>
      </w:pPr>
      <w:rPr>
        <w:rFonts w:hint="default"/>
        <w:i/>
      </w:rPr>
    </w:lvl>
    <w:lvl w:ilvl="8">
      <w:start w:val="1"/>
      <w:numFmt w:val="decimal"/>
      <w:lvlText w:val="%1.%2.%3.%4.%5.%6.%7.%8.%9"/>
      <w:lvlJc w:val="left"/>
      <w:pPr>
        <w:tabs>
          <w:tab w:val="num" w:pos="-2160"/>
        </w:tabs>
        <w:ind w:left="-2160" w:hanging="1440"/>
      </w:pPr>
      <w:rPr>
        <w:rFonts w:hint="default"/>
        <w:i/>
      </w:rPr>
    </w:lvl>
  </w:abstractNum>
  <w:abstractNum w:abstractNumId="33">
    <w:nsid w:val="73F955A1"/>
    <w:multiLevelType w:val="hybridMultilevel"/>
    <w:tmpl w:val="A6E2B61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8605E03"/>
    <w:multiLevelType w:val="hybridMultilevel"/>
    <w:tmpl w:val="2ABE10D8"/>
    <w:lvl w:ilvl="0" w:tplc="D74866C2">
      <w:start w:val="2"/>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nsid w:val="7C4068A4"/>
    <w:multiLevelType w:val="multilevel"/>
    <w:tmpl w:val="5C1062A2"/>
    <w:lvl w:ilvl="0">
      <w:start w:val="2"/>
      <w:numFmt w:val="decimal"/>
      <w:lvlText w:val="%1"/>
      <w:lvlJc w:val="left"/>
      <w:pPr>
        <w:tabs>
          <w:tab w:val="num" w:pos="855"/>
        </w:tabs>
        <w:ind w:left="855" w:hanging="855"/>
      </w:pPr>
      <w:rPr>
        <w:rFonts w:hint="default"/>
      </w:rPr>
    </w:lvl>
    <w:lvl w:ilvl="1">
      <w:start w:val="2"/>
      <w:numFmt w:val="decimal"/>
      <w:lvlText w:val="%1.%2"/>
      <w:lvlJc w:val="left"/>
      <w:pPr>
        <w:tabs>
          <w:tab w:val="num" w:pos="0"/>
        </w:tabs>
        <w:ind w:left="0"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1710"/>
        </w:tabs>
        <w:ind w:left="-1710" w:hanging="855"/>
      </w:pPr>
      <w:rPr>
        <w:rFonts w:hint="default"/>
      </w:rPr>
    </w:lvl>
    <w:lvl w:ilvl="4">
      <w:start w:val="1"/>
      <w:numFmt w:val="decimal"/>
      <w:lvlText w:val="%1.%2.%3.%4.%5"/>
      <w:lvlJc w:val="left"/>
      <w:pPr>
        <w:tabs>
          <w:tab w:val="num" w:pos="-2340"/>
        </w:tabs>
        <w:ind w:left="-2340" w:hanging="1080"/>
      </w:pPr>
      <w:rPr>
        <w:rFonts w:hint="default"/>
      </w:rPr>
    </w:lvl>
    <w:lvl w:ilvl="5">
      <w:start w:val="1"/>
      <w:numFmt w:val="decimal"/>
      <w:lvlText w:val="%1.%2.%3.%4.%5.%6"/>
      <w:lvlJc w:val="left"/>
      <w:pPr>
        <w:tabs>
          <w:tab w:val="num" w:pos="-3195"/>
        </w:tabs>
        <w:ind w:left="-3195" w:hanging="1080"/>
      </w:pPr>
      <w:rPr>
        <w:rFonts w:hint="default"/>
      </w:rPr>
    </w:lvl>
    <w:lvl w:ilvl="6">
      <w:start w:val="1"/>
      <w:numFmt w:val="decimal"/>
      <w:lvlText w:val="%1.%2.%3.%4.%5.%6.%7"/>
      <w:lvlJc w:val="left"/>
      <w:pPr>
        <w:tabs>
          <w:tab w:val="num" w:pos="-3690"/>
        </w:tabs>
        <w:ind w:left="-3690" w:hanging="1440"/>
      </w:pPr>
      <w:rPr>
        <w:rFonts w:hint="default"/>
      </w:rPr>
    </w:lvl>
    <w:lvl w:ilvl="7">
      <w:start w:val="1"/>
      <w:numFmt w:val="decimal"/>
      <w:lvlText w:val="%1.%2.%3.%4.%5.%6.%7.%8"/>
      <w:lvlJc w:val="left"/>
      <w:pPr>
        <w:tabs>
          <w:tab w:val="num" w:pos="-4545"/>
        </w:tabs>
        <w:ind w:left="-4545" w:hanging="1440"/>
      </w:pPr>
      <w:rPr>
        <w:rFonts w:hint="default"/>
      </w:rPr>
    </w:lvl>
    <w:lvl w:ilvl="8">
      <w:start w:val="1"/>
      <w:numFmt w:val="decimal"/>
      <w:lvlText w:val="%1.%2.%3.%4.%5.%6.%7.%8.%9"/>
      <w:lvlJc w:val="left"/>
      <w:pPr>
        <w:tabs>
          <w:tab w:val="num" w:pos="-5400"/>
        </w:tabs>
        <w:ind w:left="-5400" w:hanging="1440"/>
      </w:pPr>
      <w:rPr>
        <w:rFonts w:hint="default"/>
      </w:rPr>
    </w:lvl>
  </w:abstractNum>
  <w:abstractNum w:abstractNumId="36">
    <w:nsid w:val="7CB2015E"/>
    <w:multiLevelType w:val="multilevel"/>
    <w:tmpl w:val="45AE7EEC"/>
    <w:lvl w:ilvl="0">
      <w:start w:val="5"/>
      <w:numFmt w:val="decimal"/>
      <w:lvlText w:val="%1"/>
      <w:lvlJc w:val="left"/>
      <w:pPr>
        <w:tabs>
          <w:tab w:val="num" w:pos="855"/>
        </w:tabs>
        <w:ind w:left="855" w:hanging="855"/>
      </w:pPr>
      <w:rPr>
        <w:rFonts w:hint="default"/>
      </w:rPr>
    </w:lvl>
    <w:lvl w:ilvl="1">
      <w:start w:val="1"/>
      <w:numFmt w:val="decimal"/>
      <w:lvlText w:val="%1.%2"/>
      <w:lvlJc w:val="left"/>
      <w:pPr>
        <w:tabs>
          <w:tab w:val="num" w:pos="4"/>
        </w:tabs>
        <w:ind w:left="4" w:hanging="855"/>
      </w:pPr>
      <w:rPr>
        <w:rFonts w:hint="default"/>
      </w:rPr>
    </w:lvl>
    <w:lvl w:ilvl="2">
      <w:start w:val="1"/>
      <w:numFmt w:val="decimal"/>
      <w:lvlText w:val="%1.%2.%3"/>
      <w:lvlJc w:val="left"/>
      <w:pPr>
        <w:tabs>
          <w:tab w:val="num" w:pos="-847"/>
        </w:tabs>
        <w:ind w:left="-847" w:hanging="855"/>
      </w:pPr>
      <w:rPr>
        <w:rFonts w:hint="default"/>
      </w:rPr>
    </w:lvl>
    <w:lvl w:ilvl="3">
      <w:start w:val="1"/>
      <w:numFmt w:val="decimal"/>
      <w:lvlText w:val="%1.%2.%3.%4"/>
      <w:lvlJc w:val="left"/>
      <w:pPr>
        <w:tabs>
          <w:tab w:val="num" w:pos="-1698"/>
        </w:tabs>
        <w:ind w:left="-1698" w:hanging="855"/>
      </w:pPr>
      <w:rPr>
        <w:rFonts w:hint="default"/>
      </w:rPr>
    </w:lvl>
    <w:lvl w:ilvl="4">
      <w:start w:val="1"/>
      <w:numFmt w:val="decimal"/>
      <w:lvlText w:val="%1.%2.%3.%4.%5"/>
      <w:lvlJc w:val="left"/>
      <w:pPr>
        <w:tabs>
          <w:tab w:val="num" w:pos="-2324"/>
        </w:tabs>
        <w:ind w:left="-2324" w:hanging="1080"/>
      </w:pPr>
      <w:rPr>
        <w:rFonts w:hint="default"/>
      </w:rPr>
    </w:lvl>
    <w:lvl w:ilvl="5">
      <w:start w:val="1"/>
      <w:numFmt w:val="decimal"/>
      <w:lvlText w:val="%1.%2.%3.%4.%5.%6"/>
      <w:lvlJc w:val="left"/>
      <w:pPr>
        <w:tabs>
          <w:tab w:val="num" w:pos="-3175"/>
        </w:tabs>
        <w:ind w:left="-3175" w:hanging="1080"/>
      </w:pPr>
      <w:rPr>
        <w:rFonts w:hint="default"/>
      </w:rPr>
    </w:lvl>
    <w:lvl w:ilvl="6">
      <w:start w:val="1"/>
      <w:numFmt w:val="decimal"/>
      <w:lvlText w:val="%1.%2.%3.%4.%5.%6.%7"/>
      <w:lvlJc w:val="left"/>
      <w:pPr>
        <w:tabs>
          <w:tab w:val="num" w:pos="-3666"/>
        </w:tabs>
        <w:ind w:left="-3666" w:hanging="1440"/>
      </w:pPr>
      <w:rPr>
        <w:rFonts w:hint="default"/>
      </w:rPr>
    </w:lvl>
    <w:lvl w:ilvl="7">
      <w:start w:val="1"/>
      <w:numFmt w:val="decimal"/>
      <w:lvlText w:val="%1.%2.%3.%4.%5.%6.%7.%8"/>
      <w:lvlJc w:val="left"/>
      <w:pPr>
        <w:tabs>
          <w:tab w:val="num" w:pos="-4517"/>
        </w:tabs>
        <w:ind w:left="-4517" w:hanging="1440"/>
      </w:pPr>
      <w:rPr>
        <w:rFonts w:hint="default"/>
      </w:rPr>
    </w:lvl>
    <w:lvl w:ilvl="8">
      <w:start w:val="1"/>
      <w:numFmt w:val="decimal"/>
      <w:lvlText w:val="%1.%2.%3.%4.%5.%6.%7.%8.%9"/>
      <w:lvlJc w:val="left"/>
      <w:pPr>
        <w:tabs>
          <w:tab w:val="num" w:pos="-5368"/>
        </w:tabs>
        <w:ind w:left="-5368" w:hanging="1440"/>
      </w:pPr>
      <w:rPr>
        <w:rFonts w:hint="default"/>
      </w:rPr>
    </w:lvl>
  </w:abstractNum>
  <w:abstractNum w:abstractNumId="37">
    <w:nsid w:val="7F3618AA"/>
    <w:multiLevelType w:val="multilevel"/>
    <w:tmpl w:val="B622B37C"/>
    <w:lvl w:ilvl="0">
      <w:start w:val="4"/>
      <w:numFmt w:val="decimal"/>
      <w:lvlText w:val="%1"/>
      <w:lvlJc w:val="left"/>
      <w:pPr>
        <w:tabs>
          <w:tab w:val="num" w:pos="855"/>
        </w:tabs>
        <w:ind w:left="855" w:hanging="855"/>
      </w:pPr>
      <w:rPr>
        <w:rFonts w:hint="default"/>
      </w:rPr>
    </w:lvl>
    <w:lvl w:ilvl="1">
      <w:start w:val="2"/>
      <w:numFmt w:val="decimal"/>
      <w:lvlText w:val="%1.%2"/>
      <w:lvlJc w:val="left"/>
      <w:pPr>
        <w:tabs>
          <w:tab w:val="num" w:pos="4"/>
        </w:tabs>
        <w:ind w:left="4" w:hanging="855"/>
      </w:pPr>
      <w:rPr>
        <w:rFonts w:hint="default"/>
      </w:rPr>
    </w:lvl>
    <w:lvl w:ilvl="2">
      <w:start w:val="1"/>
      <w:numFmt w:val="decimal"/>
      <w:lvlText w:val="%1.%2.%3"/>
      <w:lvlJc w:val="left"/>
      <w:pPr>
        <w:tabs>
          <w:tab w:val="num" w:pos="-847"/>
        </w:tabs>
        <w:ind w:left="-847" w:hanging="855"/>
      </w:pPr>
      <w:rPr>
        <w:rFonts w:hint="default"/>
      </w:rPr>
    </w:lvl>
    <w:lvl w:ilvl="3">
      <w:start w:val="1"/>
      <w:numFmt w:val="decimal"/>
      <w:lvlText w:val="%1.%2.%3.%4"/>
      <w:lvlJc w:val="left"/>
      <w:pPr>
        <w:tabs>
          <w:tab w:val="num" w:pos="-1698"/>
        </w:tabs>
        <w:ind w:left="-1698" w:hanging="855"/>
      </w:pPr>
      <w:rPr>
        <w:rFonts w:hint="default"/>
      </w:rPr>
    </w:lvl>
    <w:lvl w:ilvl="4">
      <w:start w:val="1"/>
      <w:numFmt w:val="decimal"/>
      <w:lvlText w:val="%1.%2.%3.%4.%5"/>
      <w:lvlJc w:val="left"/>
      <w:pPr>
        <w:tabs>
          <w:tab w:val="num" w:pos="-2324"/>
        </w:tabs>
        <w:ind w:left="-2324" w:hanging="1080"/>
      </w:pPr>
      <w:rPr>
        <w:rFonts w:hint="default"/>
      </w:rPr>
    </w:lvl>
    <w:lvl w:ilvl="5">
      <w:start w:val="1"/>
      <w:numFmt w:val="decimal"/>
      <w:lvlText w:val="%1.%2.%3.%4.%5.%6"/>
      <w:lvlJc w:val="left"/>
      <w:pPr>
        <w:tabs>
          <w:tab w:val="num" w:pos="-3175"/>
        </w:tabs>
        <w:ind w:left="-3175" w:hanging="1080"/>
      </w:pPr>
      <w:rPr>
        <w:rFonts w:hint="default"/>
      </w:rPr>
    </w:lvl>
    <w:lvl w:ilvl="6">
      <w:start w:val="1"/>
      <w:numFmt w:val="decimal"/>
      <w:lvlText w:val="%1.%2.%3.%4.%5.%6.%7"/>
      <w:lvlJc w:val="left"/>
      <w:pPr>
        <w:tabs>
          <w:tab w:val="num" w:pos="-3666"/>
        </w:tabs>
        <w:ind w:left="-3666" w:hanging="1440"/>
      </w:pPr>
      <w:rPr>
        <w:rFonts w:hint="default"/>
      </w:rPr>
    </w:lvl>
    <w:lvl w:ilvl="7">
      <w:start w:val="1"/>
      <w:numFmt w:val="decimal"/>
      <w:lvlText w:val="%1.%2.%3.%4.%5.%6.%7.%8"/>
      <w:lvlJc w:val="left"/>
      <w:pPr>
        <w:tabs>
          <w:tab w:val="num" w:pos="-4517"/>
        </w:tabs>
        <w:ind w:left="-4517" w:hanging="1440"/>
      </w:pPr>
      <w:rPr>
        <w:rFonts w:hint="default"/>
      </w:rPr>
    </w:lvl>
    <w:lvl w:ilvl="8">
      <w:start w:val="1"/>
      <w:numFmt w:val="decimal"/>
      <w:lvlText w:val="%1.%2.%3.%4.%5.%6.%7.%8.%9"/>
      <w:lvlJc w:val="left"/>
      <w:pPr>
        <w:tabs>
          <w:tab w:val="num" w:pos="-5368"/>
        </w:tabs>
        <w:ind w:left="-5368" w:hanging="1440"/>
      </w:pPr>
      <w:rPr>
        <w:rFonts w:hint="default"/>
      </w:rPr>
    </w:lvl>
  </w:abstractNum>
  <w:num w:numId="1">
    <w:abstractNumId w:val="1"/>
  </w:num>
  <w:num w:numId="2">
    <w:abstractNumId w:val="7"/>
  </w:num>
  <w:num w:numId="3">
    <w:abstractNumId w:val="22"/>
  </w:num>
  <w:num w:numId="4">
    <w:abstractNumId w:val="11"/>
  </w:num>
  <w:num w:numId="5">
    <w:abstractNumId w:val="37"/>
  </w:num>
  <w:num w:numId="6">
    <w:abstractNumId w:val="6"/>
  </w:num>
  <w:num w:numId="7">
    <w:abstractNumId w:val="36"/>
  </w:num>
  <w:num w:numId="8">
    <w:abstractNumId w:val="19"/>
  </w:num>
  <w:num w:numId="9">
    <w:abstractNumId w:val="24"/>
  </w:num>
  <w:num w:numId="10">
    <w:abstractNumId w:val="26"/>
  </w:num>
  <w:num w:numId="11">
    <w:abstractNumId w:val="15"/>
  </w:num>
  <w:num w:numId="12">
    <w:abstractNumId w:val="14"/>
  </w:num>
  <w:num w:numId="13">
    <w:abstractNumId w:val="25"/>
  </w:num>
  <w:num w:numId="14">
    <w:abstractNumId w:val="0"/>
  </w:num>
  <w:num w:numId="15">
    <w:abstractNumId w:val="2"/>
  </w:num>
  <w:num w:numId="16">
    <w:abstractNumId w:val="28"/>
  </w:num>
  <w:num w:numId="17">
    <w:abstractNumId w:val="3"/>
  </w:num>
  <w:num w:numId="18">
    <w:abstractNumId w:val="17"/>
  </w:num>
  <w:num w:numId="19">
    <w:abstractNumId w:val="23"/>
  </w:num>
  <w:num w:numId="20">
    <w:abstractNumId w:val="18"/>
  </w:num>
  <w:num w:numId="21">
    <w:abstractNumId w:val="31"/>
  </w:num>
  <w:num w:numId="22">
    <w:abstractNumId w:val="27"/>
  </w:num>
  <w:num w:numId="23">
    <w:abstractNumId w:val="35"/>
  </w:num>
  <w:num w:numId="24">
    <w:abstractNumId w:val="10"/>
  </w:num>
  <w:num w:numId="25">
    <w:abstractNumId w:val="13"/>
  </w:num>
  <w:num w:numId="26">
    <w:abstractNumId w:val="29"/>
  </w:num>
  <w:num w:numId="27">
    <w:abstractNumId w:val="12"/>
  </w:num>
  <w:num w:numId="28">
    <w:abstractNumId w:val="16"/>
  </w:num>
  <w:num w:numId="29">
    <w:abstractNumId w:val="32"/>
  </w:num>
  <w:num w:numId="30">
    <w:abstractNumId w:val="9"/>
  </w:num>
  <w:num w:numId="31">
    <w:abstractNumId w:val="21"/>
  </w:num>
  <w:num w:numId="32">
    <w:abstractNumId w:val="34"/>
  </w:num>
  <w:num w:numId="33">
    <w:abstractNumId w:val="8"/>
  </w:num>
  <w:num w:numId="34">
    <w:abstractNumId w:val="4"/>
  </w:num>
  <w:num w:numId="35">
    <w:abstractNumId w:val="20"/>
  </w:num>
  <w:num w:numId="36">
    <w:abstractNumId w:val="5"/>
  </w:num>
  <w:num w:numId="37">
    <w:abstractNumId w:val="33"/>
  </w:num>
  <w:num w:numId="38">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attachedTemplate r:id="rId1"/>
  <w:stylePaneFormatFilter w:val="3F01"/>
  <w:defaultTabStop w:val="0"/>
  <w:hyphenationZone w:val="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rsids>
    <w:rsidRoot w:val="009E767A"/>
    <w:rsid w:val="000101BC"/>
    <w:rsid w:val="00014C06"/>
    <w:rsid w:val="00025DD1"/>
    <w:rsid w:val="00032709"/>
    <w:rsid w:val="00092277"/>
    <w:rsid w:val="000A73C4"/>
    <w:rsid w:val="000B518F"/>
    <w:rsid w:val="000C0326"/>
    <w:rsid w:val="000C3E40"/>
    <w:rsid w:val="000C5C43"/>
    <w:rsid w:val="000C638E"/>
    <w:rsid w:val="000E1A04"/>
    <w:rsid w:val="00106D8B"/>
    <w:rsid w:val="00113F50"/>
    <w:rsid w:val="00120622"/>
    <w:rsid w:val="00123982"/>
    <w:rsid w:val="0013080A"/>
    <w:rsid w:val="0014058C"/>
    <w:rsid w:val="0014111F"/>
    <w:rsid w:val="00157CA3"/>
    <w:rsid w:val="00164E11"/>
    <w:rsid w:val="00170CD8"/>
    <w:rsid w:val="00171691"/>
    <w:rsid w:val="00172E47"/>
    <w:rsid w:val="0017463C"/>
    <w:rsid w:val="001911B0"/>
    <w:rsid w:val="001B21D3"/>
    <w:rsid w:val="001C6A7E"/>
    <w:rsid w:val="001D00DD"/>
    <w:rsid w:val="001D212D"/>
    <w:rsid w:val="001E296F"/>
    <w:rsid w:val="001F6BD0"/>
    <w:rsid w:val="00211FC9"/>
    <w:rsid w:val="00213A74"/>
    <w:rsid w:val="00222B7C"/>
    <w:rsid w:val="00234073"/>
    <w:rsid w:val="0024398A"/>
    <w:rsid w:val="002467F4"/>
    <w:rsid w:val="002717E9"/>
    <w:rsid w:val="00286EF7"/>
    <w:rsid w:val="00293858"/>
    <w:rsid w:val="00295532"/>
    <w:rsid w:val="002A7919"/>
    <w:rsid w:val="002B11D5"/>
    <w:rsid w:val="002B27D9"/>
    <w:rsid w:val="002D0912"/>
    <w:rsid w:val="002E4085"/>
    <w:rsid w:val="002F0041"/>
    <w:rsid w:val="002F756D"/>
    <w:rsid w:val="002F7958"/>
    <w:rsid w:val="00306DA3"/>
    <w:rsid w:val="00312991"/>
    <w:rsid w:val="0032587D"/>
    <w:rsid w:val="00342FA0"/>
    <w:rsid w:val="00343C32"/>
    <w:rsid w:val="00351C87"/>
    <w:rsid w:val="003544C0"/>
    <w:rsid w:val="00364ADD"/>
    <w:rsid w:val="0038339E"/>
    <w:rsid w:val="00387D05"/>
    <w:rsid w:val="003A40A0"/>
    <w:rsid w:val="003A72E1"/>
    <w:rsid w:val="003B0968"/>
    <w:rsid w:val="003B339C"/>
    <w:rsid w:val="003E4483"/>
    <w:rsid w:val="00411E4D"/>
    <w:rsid w:val="004155E8"/>
    <w:rsid w:val="00442B59"/>
    <w:rsid w:val="00442BEC"/>
    <w:rsid w:val="0045248B"/>
    <w:rsid w:val="004536CE"/>
    <w:rsid w:val="00494DF4"/>
    <w:rsid w:val="004C6ACA"/>
    <w:rsid w:val="004D3949"/>
    <w:rsid w:val="004E0AAA"/>
    <w:rsid w:val="004E0BF9"/>
    <w:rsid w:val="0050727F"/>
    <w:rsid w:val="005544F0"/>
    <w:rsid w:val="00555310"/>
    <w:rsid w:val="00571C45"/>
    <w:rsid w:val="00572C18"/>
    <w:rsid w:val="00573315"/>
    <w:rsid w:val="0057419F"/>
    <w:rsid w:val="0057761E"/>
    <w:rsid w:val="00583243"/>
    <w:rsid w:val="00584B3B"/>
    <w:rsid w:val="005932B6"/>
    <w:rsid w:val="00594D6A"/>
    <w:rsid w:val="005A336A"/>
    <w:rsid w:val="005B2B76"/>
    <w:rsid w:val="006220DF"/>
    <w:rsid w:val="00655938"/>
    <w:rsid w:val="00662BE1"/>
    <w:rsid w:val="006A4D69"/>
    <w:rsid w:val="006A7990"/>
    <w:rsid w:val="006B196D"/>
    <w:rsid w:val="006B3C5C"/>
    <w:rsid w:val="006C2B0D"/>
    <w:rsid w:val="006C32BB"/>
    <w:rsid w:val="006E2CAC"/>
    <w:rsid w:val="006F0E79"/>
    <w:rsid w:val="006F48C9"/>
    <w:rsid w:val="00705649"/>
    <w:rsid w:val="0071126A"/>
    <w:rsid w:val="007112C7"/>
    <w:rsid w:val="007251AD"/>
    <w:rsid w:val="00752C9F"/>
    <w:rsid w:val="00760F13"/>
    <w:rsid w:val="00794739"/>
    <w:rsid w:val="007B1BE1"/>
    <w:rsid w:val="007C0D28"/>
    <w:rsid w:val="007D0452"/>
    <w:rsid w:val="008242A7"/>
    <w:rsid w:val="00847BFE"/>
    <w:rsid w:val="00855685"/>
    <w:rsid w:val="008608BF"/>
    <w:rsid w:val="00867AC7"/>
    <w:rsid w:val="00881411"/>
    <w:rsid w:val="00886877"/>
    <w:rsid w:val="00892C61"/>
    <w:rsid w:val="00893980"/>
    <w:rsid w:val="00895C99"/>
    <w:rsid w:val="008A295D"/>
    <w:rsid w:val="008B1A54"/>
    <w:rsid w:val="008B5D19"/>
    <w:rsid w:val="008C15D7"/>
    <w:rsid w:val="008C1816"/>
    <w:rsid w:val="008C31B4"/>
    <w:rsid w:val="008D4795"/>
    <w:rsid w:val="008F07F3"/>
    <w:rsid w:val="008F765A"/>
    <w:rsid w:val="00911769"/>
    <w:rsid w:val="00936CE8"/>
    <w:rsid w:val="00941566"/>
    <w:rsid w:val="0096456B"/>
    <w:rsid w:val="00964B69"/>
    <w:rsid w:val="00965BCF"/>
    <w:rsid w:val="009741F9"/>
    <w:rsid w:val="00980051"/>
    <w:rsid w:val="009A0463"/>
    <w:rsid w:val="009A0F0C"/>
    <w:rsid w:val="009A2F62"/>
    <w:rsid w:val="009B1CA8"/>
    <w:rsid w:val="009C733A"/>
    <w:rsid w:val="009D1D10"/>
    <w:rsid w:val="009D5A2A"/>
    <w:rsid w:val="009E767A"/>
    <w:rsid w:val="009F280A"/>
    <w:rsid w:val="00A1276A"/>
    <w:rsid w:val="00A266D3"/>
    <w:rsid w:val="00A26B31"/>
    <w:rsid w:val="00A3031E"/>
    <w:rsid w:val="00A53515"/>
    <w:rsid w:val="00A567EA"/>
    <w:rsid w:val="00A70A85"/>
    <w:rsid w:val="00A83BBE"/>
    <w:rsid w:val="00A90B78"/>
    <w:rsid w:val="00A9155E"/>
    <w:rsid w:val="00AC612E"/>
    <w:rsid w:val="00AF6A70"/>
    <w:rsid w:val="00B0018A"/>
    <w:rsid w:val="00B02E3F"/>
    <w:rsid w:val="00B0680C"/>
    <w:rsid w:val="00B217C8"/>
    <w:rsid w:val="00B44A3B"/>
    <w:rsid w:val="00B51344"/>
    <w:rsid w:val="00B9247B"/>
    <w:rsid w:val="00B937FC"/>
    <w:rsid w:val="00BA2BC5"/>
    <w:rsid w:val="00BA5D97"/>
    <w:rsid w:val="00BA661D"/>
    <w:rsid w:val="00BB1F41"/>
    <w:rsid w:val="00C33978"/>
    <w:rsid w:val="00C50627"/>
    <w:rsid w:val="00C54811"/>
    <w:rsid w:val="00C61534"/>
    <w:rsid w:val="00C64B81"/>
    <w:rsid w:val="00C71652"/>
    <w:rsid w:val="00C73578"/>
    <w:rsid w:val="00C82CB6"/>
    <w:rsid w:val="00C92569"/>
    <w:rsid w:val="00CA6D7F"/>
    <w:rsid w:val="00CB01C4"/>
    <w:rsid w:val="00CB79D6"/>
    <w:rsid w:val="00CC58AC"/>
    <w:rsid w:val="00CC78AC"/>
    <w:rsid w:val="00CF302E"/>
    <w:rsid w:val="00CF7C9A"/>
    <w:rsid w:val="00D063EE"/>
    <w:rsid w:val="00D10459"/>
    <w:rsid w:val="00D15203"/>
    <w:rsid w:val="00D223BB"/>
    <w:rsid w:val="00D37F73"/>
    <w:rsid w:val="00D4227F"/>
    <w:rsid w:val="00D4380A"/>
    <w:rsid w:val="00D545FA"/>
    <w:rsid w:val="00D5621F"/>
    <w:rsid w:val="00D56228"/>
    <w:rsid w:val="00D61C61"/>
    <w:rsid w:val="00D90CFF"/>
    <w:rsid w:val="00DF4598"/>
    <w:rsid w:val="00E1384E"/>
    <w:rsid w:val="00E31C78"/>
    <w:rsid w:val="00E70232"/>
    <w:rsid w:val="00E71743"/>
    <w:rsid w:val="00E9185A"/>
    <w:rsid w:val="00EA0269"/>
    <w:rsid w:val="00EA4890"/>
    <w:rsid w:val="00EB36A5"/>
    <w:rsid w:val="00EB5DE7"/>
    <w:rsid w:val="00ED6A30"/>
    <w:rsid w:val="00EF2E46"/>
    <w:rsid w:val="00F155D3"/>
    <w:rsid w:val="00F44691"/>
    <w:rsid w:val="00F67A6B"/>
    <w:rsid w:val="00F80236"/>
    <w:rsid w:val="00F80465"/>
    <w:rsid w:val="00F81831"/>
    <w:rsid w:val="00FA5A23"/>
    <w:rsid w:val="00FB63F8"/>
    <w:rsid w:val="00FC57F2"/>
    <w:rsid w:val="00FC72BC"/>
    <w:rsid w:val="00FE1EC5"/>
    <w:rsid w:val="00FE4E53"/>
    <w:rsid w:val="00FF30CB"/>
    <w:rsid w:val="00FF3E0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spacing w:line="260" w:lineRule="exact"/>
      <w:jc w:val="both"/>
      <w:textAlignment w:val="baseline"/>
    </w:pPr>
    <w:rPr>
      <w:rFonts w:ascii="Tornado" w:hAnsi="Tornado"/>
      <w:color w:val="000000"/>
      <w:sz w:val="24"/>
      <w:lang w:eastAsia="en-US"/>
    </w:rPr>
  </w:style>
  <w:style w:type="paragraph" w:styleId="Heading1">
    <w:name w:val="heading 1"/>
    <w:basedOn w:val="Normal"/>
    <w:next w:val="Heading2"/>
    <w:qFormat/>
    <w:pPr>
      <w:pageBreakBefore/>
      <w:tabs>
        <w:tab w:val="left" w:pos="4"/>
      </w:tabs>
      <w:spacing w:after="360" w:line="360" w:lineRule="exact"/>
      <w:ind w:hanging="851"/>
      <w:outlineLvl w:val="0"/>
    </w:pPr>
    <w:rPr>
      <w:rFonts w:ascii="Times New Roman" w:hAnsi="Times New Roman"/>
      <w:b/>
      <w:sz w:val="36"/>
    </w:rPr>
  </w:style>
  <w:style w:type="paragraph" w:styleId="Heading2">
    <w:name w:val="heading 2"/>
    <w:basedOn w:val="Normal"/>
    <w:next w:val="Heading3"/>
    <w:qFormat/>
    <w:pPr>
      <w:keepNext/>
      <w:spacing w:before="260" w:after="80" w:line="320" w:lineRule="exact"/>
      <w:ind w:hanging="851"/>
      <w:outlineLvl w:val="1"/>
    </w:pPr>
    <w:rPr>
      <w:rFonts w:ascii="Times New Roman" w:hAnsi="Times New Roman"/>
      <w:sz w:val="32"/>
    </w:rPr>
  </w:style>
  <w:style w:type="paragraph" w:styleId="Heading3">
    <w:name w:val="heading 3"/>
    <w:basedOn w:val="Normal"/>
    <w:next w:val="Body"/>
    <w:link w:val="Heading3Char"/>
    <w:qFormat/>
    <w:pPr>
      <w:keepNext/>
      <w:spacing w:before="260" w:after="140"/>
      <w:ind w:hanging="851"/>
      <w:outlineLvl w:val="2"/>
    </w:pPr>
    <w:rPr>
      <w:rFonts w:ascii="Times New Roman" w:hAnsi="Times New Roman"/>
      <w:b/>
    </w:rPr>
  </w:style>
  <w:style w:type="paragraph" w:styleId="Heading4">
    <w:name w:val="heading 4"/>
    <w:basedOn w:val="Heading3"/>
    <w:next w:val="Body"/>
    <w:qFormat/>
    <w:pPr>
      <w:outlineLvl w:val="3"/>
    </w:pPr>
    <w:rPr>
      <w:b w:val="0"/>
      <w:i/>
      <w:sz w:val="22"/>
    </w:rPr>
  </w:style>
  <w:style w:type="paragraph" w:styleId="Heading5">
    <w:name w:val="heading 5"/>
    <w:basedOn w:val="Normal"/>
    <w:next w:val="Normal"/>
    <w:qFormat/>
    <w:pPr>
      <w:keepNext/>
      <w:widowControl w:val="0"/>
      <w:spacing w:before="200" w:after="200" w:line="240" w:lineRule="auto"/>
      <w:jc w:val="left"/>
      <w:outlineLvl w:val="4"/>
    </w:pPr>
    <w:rPr>
      <w:rFonts w:ascii="Univers" w:hAnsi="Univers"/>
      <w:b/>
      <w:caps/>
      <w:color w:val="auto"/>
    </w:rPr>
  </w:style>
  <w:style w:type="paragraph" w:styleId="Heading6">
    <w:name w:val="heading 6"/>
    <w:aliases w:val="Headings"/>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uto"/>
      <w:jc w:val="left"/>
      <w:outlineLvl w:val="5"/>
    </w:pPr>
    <w:rPr>
      <w:rFonts w:ascii="Univers" w:hAnsi="Univers"/>
      <w:color w:val="auto"/>
      <w:sz w:val="22"/>
      <w:lang w:val="en-US"/>
    </w:rPr>
  </w:style>
  <w:style w:type="paragraph" w:styleId="Heading7">
    <w:name w:val="heading 7"/>
    <w:basedOn w:val="Normal"/>
    <w:next w:val="Normal"/>
    <w:qFormat/>
    <w:pPr>
      <w:keepNext/>
      <w:widowControl w:val="0"/>
      <w:spacing w:before="200" w:after="200" w:line="240" w:lineRule="auto"/>
      <w:outlineLvl w:val="6"/>
    </w:pPr>
    <w:rPr>
      <w:rFonts w:ascii="Times New Roman" w:hAnsi="Times New Roman"/>
      <w:b/>
      <w:color w:val="auto"/>
    </w:rPr>
  </w:style>
  <w:style w:type="paragraph" w:styleId="Heading8">
    <w:name w:val="heading 8"/>
    <w:aliases w:val="Headings Text"/>
    <w:basedOn w:val="Normal"/>
    <w:qFormat/>
    <w:pPr>
      <w:keepNext/>
      <w:spacing w:line="240" w:lineRule="auto"/>
      <w:jc w:val="left"/>
      <w:outlineLvl w:val="7"/>
    </w:pPr>
    <w:rPr>
      <w:rFonts w:ascii="Times New Roman" w:hAnsi="Times New Roman"/>
      <w:color w:val="auto"/>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OC2">
    <w:name w:val="toc 2"/>
    <w:basedOn w:val="Heading2"/>
    <w:next w:val="Body"/>
    <w:semiHidden/>
    <w:pPr>
      <w:tabs>
        <w:tab w:val="right" w:pos="8500"/>
      </w:tabs>
      <w:spacing w:before="0" w:after="0" w:line="240" w:lineRule="auto"/>
      <w:ind w:left="567" w:hanging="567"/>
      <w:outlineLvl w:val="9"/>
    </w:pPr>
  </w:style>
  <w:style w:type="paragraph" w:styleId="TOC1">
    <w:name w:val="toc 1"/>
    <w:basedOn w:val="Heading1"/>
    <w:next w:val="Normal"/>
    <w:semiHidden/>
    <w:pPr>
      <w:pageBreakBefore w:val="0"/>
      <w:tabs>
        <w:tab w:val="clear" w:pos="4"/>
        <w:tab w:val="left" w:pos="-3261"/>
        <w:tab w:val="right" w:pos="8500"/>
      </w:tabs>
      <w:spacing w:before="360" w:after="60" w:line="240" w:lineRule="auto"/>
      <w:ind w:left="567" w:hanging="567"/>
      <w:outlineLvl w:val="9"/>
    </w:pPr>
  </w:style>
  <w:style w:type="paragraph" w:styleId="Footer">
    <w:name w:val="footer"/>
    <w:basedOn w:val="Normal"/>
    <w:next w:val="Normal"/>
    <w:pPr>
      <w:jc w:val="center"/>
    </w:pPr>
    <w:rPr>
      <w:rFonts w:ascii="Univers" w:hAnsi="Univers"/>
      <w:b/>
    </w:rPr>
  </w:style>
  <w:style w:type="paragraph" w:styleId="Header">
    <w:name w:val="header"/>
    <w:basedOn w:val="Normal"/>
    <w:next w:val="Normal"/>
    <w:pPr>
      <w:tabs>
        <w:tab w:val="center" w:pos="3969"/>
        <w:tab w:val="right" w:pos="8504"/>
      </w:tabs>
    </w:pPr>
    <w:rPr>
      <w:rFonts w:ascii="Univers" w:hAnsi="Univers"/>
      <w:sz w:val="18"/>
    </w:rPr>
  </w:style>
  <w:style w:type="paragraph" w:customStyle="1" w:styleId="Body">
    <w:name w:val="Body"/>
    <w:aliases w:val="by,by Char,by Char Char Char Char Char,HideTWBExt + Times New Roman,by Char Char,Body Char Char1 Char,Body Char1 Char,by Char Char Char,Body Char Char2,Body Char1 Char Char Char,by Char1 Char1 Char Char,Body Char2 Char Char,by Char2 Char Char,by Cha"/>
    <w:basedOn w:val="Normal"/>
    <w:pPr>
      <w:spacing w:after="130"/>
      <w:ind w:hanging="855"/>
    </w:pPr>
    <w:rPr>
      <w:rFonts w:ascii="Times New Roman" w:hAnsi="Times New Roman"/>
      <w:iCs/>
      <w:sz w:val="22"/>
    </w:rPr>
  </w:style>
  <w:style w:type="paragraph" w:styleId="Date">
    <w:name w:val="Date"/>
    <w:basedOn w:val="Normal"/>
    <w:next w:val="Normal"/>
    <w:rPr>
      <w:rFonts w:ascii="Univers" w:hAnsi="Univers"/>
    </w:rPr>
  </w:style>
  <w:style w:type="paragraph" w:customStyle="1" w:styleId="PageNumber1">
    <w:name w:val="Page Number1"/>
    <w:basedOn w:val="Normal"/>
    <w:pPr>
      <w:tabs>
        <w:tab w:val="center" w:pos="4320"/>
        <w:tab w:val="right" w:pos="8640"/>
      </w:tabs>
      <w:jc w:val="center"/>
    </w:pPr>
    <w:rPr>
      <w:b/>
    </w:rPr>
  </w:style>
  <w:style w:type="paragraph" w:customStyle="1" w:styleId="ContentsHeader">
    <w:name w:val="Contents Header"/>
    <w:basedOn w:val="Heading1"/>
    <w:pPr>
      <w:spacing w:after="0" w:line="240" w:lineRule="auto"/>
      <w:ind w:firstLine="0"/>
      <w:outlineLvl w:val="9"/>
    </w:pPr>
  </w:style>
  <w:style w:type="paragraph" w:customStyle="1" w:styleId="CoverInformation">
    <w:name w:val="Cover Information"/>
    <w:basedOn w:val="Normal"/>
    <w:pPr>
      <w:framePr w:w="4536" w:hSpace="180" w:wrap="auto" w:vAnchor="page" w:hAnchor="page" w:x="3599" w:y="14420"/>
      <w:ind w:left="520"/>
    </w:pPr>
    <w:rPr>
      <w:rFonts w:ascii="Univers" w:hAnsi="Univers"/>
    </w:rPr>
  </w:style>
  <w:style w:type="paragraph" w:customStyle="1" w:styleId="Bullet">
    <w:name w:val="Bullet"/>
    <w:basedOn w:val="Body"/>
    <w:next w:val="Body"/>
    <w:autoRedefine/>
    <w:pPr>
      <w:tabs>
        <w:tab w:val="left" w:pos="-3402"/>
        <w:tab w:val="left" w:pos="709"/>
      </w:tabs>
      <w:ind w:left="709" w:hanging="357"/>
    </w:pPr>
  </w:style>
  <w:style w:type="paragraph" w:customStyle="1" w:styleId="AppendixHead1">
    <w:name w:val="Appendix Head 1"/>
    <w:basedOn w:val="Heading1"/>
    <w:next w:val="Body"/>
    <w:pPr>
      <w:tabs>
        <w:tab w:val="clear" w:pos="4"/>
        <w:tab w:val="left" w:pos="0"/>
      </w:tabs>
      <w:ind w:hanging="4"/>
      <w:outlineLvl w:val="9"/>
    </w:pPr>
  </w:style>
  <w:style w:type="paragraph" w:customStyle="1" w:styleId="AppendixHead2">
    <w:name w:val="Appendix Head 2"/>
    <w:basedOn w:val="Heading2"/>
    <w:next w:val="Body"/>
    <w:pPr>
      <w:tabs>
        <w:tab w:val="left" w:pos="0"/>
      </w:tabs>
      <w:ind w:firstLine="0"/>
      <w:outlineLvl w:val="9"/>
    </w:pPr>
  </w:style>
  <w:style w:type="paragraph" w:customStyle="1" w:styleId="Picture">
    <w:name w:val="Picture"/>
    <w:basedOn w:val="Normal"/>
    <w:pPr>
      <w:pBdr>
        <w:top w:val="single" w:sz="6" w:space="6" w:color="auto"/>
        <w:left w:val="single" w:sz="6" w:space="0" w:color="auto"/>
        <w:bottom w:val="single" w:sz="6" w:space="6" w:color="auto"/>
        <w:right w:val="single" w:sz="6" w:space="0" w:color="auto"/>
      </w:pBdr>
      <w:spacing w:before="130" w:after="130"/>
      <w:jc w:val="center"/>
    </w:pPr>
  </w:style>
  <w:style w:type="paragraph" w:customStyle="1" w:styleId="Status">
    <w:name w:val="Status"/>
    <w:basedOn w:val="CoverInformation"/>
    <w:pPr>
      <w:framePr w:wrap="auto"/>
    </w:pPr>
    <w:rPr>
      <w:b/>
      <w:sz w:val="26"/>
    </w:rPr>
  </w:style>
  <w:style w:type="paragraph" w:customStyle="1" w:styleId="ReportName">
    <w:name w:val="Report Name"/>
    <w:basedOn w:val="Normal"/>
    <w:pPr>
      <w:spacing w:before="1200"/>
    </w:pPr>
    <w:rPr>
      <w:sz w:val="40"/>
    </w:rPr>
  </w:style>
  <w:style w:type="paragraph" w:customStyle="1" w:styleId="TOC1A">
    <w:name w:val="TOC 1A"/>
    <w:basedOn w:val="TOC1"/>
    <w:pPr>
      <w:ind w:firstLine="0"/>
    </w:pPr>
  </w:style>
  <w:style w:type="paragraph" w:customStyle="1" w:styleId="TOC2A">
    <w:name w:val="TOC2A"/>
    <w:basedOn w:val="TOC2"/>
    <w:pPr>
      <w:ind w:firstLine="0"/>
    </w:pPr>
  </w:style>
  <w:style w:type="paragraph" w:customStyle="1" w:styleId="Bullet2">
    <w:name w:val="Bullet2"/>
    <w:basedOn w:val="Bullet"/>
    <w:autoRedefine/>
    <w:pPr>
      <w:numPr>
        <w:numId w:val="22"/>
      </w:numPr>
      <w:tabs>
        <w:tab w:val="clear" w:pos="1498"/>
      </w:tabs>
      <w:ind w:left="709" w:hanging="357"/>
    </w:pPr>
  </w:style>
  <w:style w:type="paragraph" w:styleId="MessageHeader">
    <w:name w:val="Message Header"/>
    <w:basedOn w:val="BodyText"/>
    <w:pPr>
      <w:keepLines/>
      <w:overflowPunct/>
      <w:autoSpaceDE/>
      <w:autoSpaceDN/>
      <w:adjustRightInd/>
      <w:spacing w:line="180" w:lineRule="atLeast"/>
      <w:ind w:left="720" w:hanging="720"/>
      <w:jc w:val="left"/>
      <w:textAlignment w:val="auto"/>
    </w:pPr>
    <w:rPr>
      <w:rFonts w:ascii="Arial" w:hAnsi="Arial"/>
      <w:color w:val="auto"/>
      <w:spacing w:val="-5"/>
      <w:sz w:val="20"/>
      <w:lang w:val="en-US"/>
    </w:rPr>
  </w:style>
  <w:style w:type="paragraph" w:styleId="BodyText">
    <w:name w:val="Body Text"/>
    <w:basedOn w:val="Normal"/>
    <w:pPr>
      <w:spacing w:after="120"/>
    </w:pPr>
  </w:style>
  <w:style w:type="character" w:styleId="FootnoteReference">
    <w:name w:val="footnote reference"/>
    <w:basedOn w:val="DefaultParagraphFont"/>
    <w:rPr>
      <w:vertAlign w:val="superscript"/>
    </w:rPr>
  </w:style>
  <w:style w:type="paragraph" w:styleId="FootnoteText">
    <w:name w:val="footnote text"/>
    <w:basedOn w:val="Normal"/>
    <w:link w:val="FootnoteTextChar"/>
    <w:pPr>
      <w:overflowPunct/>
      <w:autoSpaceDE/>
      <w:autoSpaceDN/>
      <w:adjustRightInd/>
      <w:spacing w:line="240" w:lineRule="auto"/>
      <w:ind w:left="720" w:hanging="720"/>
      <w:textAlignment w:val="auto"/>
    </w:pPr>
    <w:rPr>
      <w:rFonts w:ascii="Times New Roman" w:hAnsi="Times New Roman"/>
      <w:color w:val="auto"/>
      <w:sz w:val="20"/>
    </w:rPr>
  </w:style>
  <w:style w:type="paragraph" w:customStyle="1" w:styleId="Annexetitreacte">
    <w:name w:val="Annexe titre (acte)"/>
    <w:basedOn w:val="Normal"/>
    <w:next w:val="Normal"/>
    <w:pPr>
      <w:overflowPunct/>
      <w:autoSpaceDE/>
      <w:autoSpaceDN/>
      <w:adjustRightInd/>
      <w:spacing w:before="120" w:after="120" w:line="240" w:lineRule="auto"/>
      <w:jc w:val="center"/>
      <w:textAlignment w:val="auto"/>
    </w:pPr>
    <w:rPr>
      <w:rFonts w:ascii="Times New Roman" w:hAnsi="Times New Roman"/>
      <w:b/>
      <w:color w:val="auto"/>
      <w:u w:val="single"/>
      <w:lang w:eastAsia="en-GB"/>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rsid w:val="00286EF7"/>
    <w:pPr>
      <w:shd w:val="clear" w:color="auto" w:fill="000080"/>
    </w:pPr>
    <w:rPr>
      <w:rFonts w:ascii="Tahoma" w:hAnsi="Tahoma" w:cs="Tahoma"/>
      <w:sz w:val="20"/>
    </w:rPr>
  </w:style>
  <w:style w:type="paragraph" w:styleId="ListParagraph">
    <w:name w:val="List Paragraph"/>
    <w:basedOn w:val="Normal"/>
    <w:uiPriority w:val="34"/>
    <w:qFormat/>
    <w:rsid w:val="00936CE8"/>
    <w:pPr>
      <w:ind w:left="720"/>
    </w:pPr>
  </w:style>
  <w:style w:type="character" w:styleId="CommentReference">
    <w:name w:val="annotation reference"/>
    <w:basedOn w:val="DefaultParagraphFont"/>
    <w:uiPriority w:val="99"/>
    <w:semiHidden/>
    <w:unhideWhenUsed/>
    <w:rsid w:val="0024398A"/>
    <w:rPr>
      <w:sz w:val="16"/>
      <w:szCs w:val="16"/>
    </w:rPr>
  </w:style>
  <w:style w:type="paragraph" w:styleId="CommentText">
    <w:name w:val="annotation text"/>
    <w:basedOn w:val="Normal"/>
    <w:link w:val="CommentTextChar"/>
    <w:uiPriority w:val="99"/>
    <w:semiHidden/>
    <w:unhideWhenUsed/>
    <w:rsid w:val="0024398A"/>
    <w:rPr>
      <w:sz w:val="20"/>
    </w:rPr>
  </w:style>
  <w:style w:type="character" w:customStyle="1" w:styleId="CommentTextChar">
    <w:name w:val="Comment Text Char"/>
    <w:basedOn w:val="DefaultParagraphFont"/>
    <w:link w:val="CommentText"/>
    <w:uiPriority w:val="99"/>
    <w:semiHidden/>
    <w:rsid w:val="0024398A"/>
    <w:rPr>
      <w:rFonts w:ascii="Tornado" w:hAnsi="Tornado"/>
      <w:color w:val="000000"/>
      <w:lang w:val="en-GB"/>
    </w:rPr>
  </w:style>
  <w:style w:type="paragraph" w:styleId="CommentSubject">
    <w:name w:val="annotation subject"/>
    <w:basedOn w:val="CommentText"/>
    <w:next w:val="CommentText"/>
    <w:link w:val="CommentSubjectChar"/>
    <w:uiPriority w:val="99"/>
    <w:semiHidden/>
    <w:unhideWhenUsed/>
    <w:rsid w:val="0024398A"/>
    <w:rPr>
      <w:b/>
      <w:bCs/>
    </w:rPr>
  </w:style>
  <w:style w:type="character" w:customStyle="1" w:styleId="CommentSubjectChar">
    <w:name w:val="Comment Subject Char"/>
    <w:basedOn w:val="CommentTextChar"/>
    <w:link w:val="CommentSubject"/>
    <w:uiPriority w:val="99"/>
    <w:semiHidden/>
    <w:rsid w:val="0024398A"/>
    <w:rPr>
      <w:b/>
      <w:bCs/>
    </w:rPr>
  </w:style>
  <w:style w:type="paragraph" w:styleId="Revision">
    <w:name w:val="Revision"/>
    <w:hidden/>
    <w:uiPriority w:val="99"/>
    <w:semiHidden/>
    <w:rsid w:val="00F81831"/>
    <w:rPr>
      <w:rFonts w:ascii="Tornado" w:hAnsi="Tornado"/>
      <w:color w:val="000000"/>
      <w:sz w:val="24"/>
      <w:lang w:eastAsia="en-US"/>
    </w:rPr>
  </w:style>
  <w:style w:type="paragraph" w:customStyle="1" w:styleId="body0">
    <w:name w:val="body"/>
    <w:basedOn w:val="Normal"/>
    <w:rsid w:val="0057419F"/>
    <w:pPr>
      <w:overflowPunct/>
      <w:autoSpaceDE/>
      <w:autoSpaceDN/>
      <w:adjustRightInd/>
      <w:spacing w:before="100" w:beforeAutospacing="1" w:after="100" w:afterAutospacing="1" w:line="240" w:lineRule="auto"/>
      <w:jc w:val="left"/>
      <w:textAlignment w:val="auto"/>
    </w:pPr>
    <w:rPr>
      <w:rFonts w:ascii="Times New Roman" w:hAnsi="Times New Roman"/>
      <w:color w:val="auto"/>
      <w:szCs w:val="24"/>
      <w:lang w:val="en-US"/>
    </w:rPr>
  </w:style>
  <w:style w:type="character" w:customStyle="1" w:styleId="FootnoteTextChar">
    <w:name w:val="Footnote Text Char"/>
    <w:basedOn w:val="DefaultParagraphFont"/>
    <w:link w:val="FootnoteText"/>
    <w:rsid w:val="001D212D"/>
    <w:rPr>
      <w:lang w:eastAsia="en-US"/>
    </w:rPr>
  </w:style>
  <w:style w:type="character" w:customStyle="1" w:styleId="hps">
    <w:name w:val="hps"/>
    <w:basedOn w:val="DefaultParagraphFont"/>
    <w:rsid w:val="00D063EE"/>
  </w:style>
  <w:style w:type="character" w:customStyle="1" w:styleId="longtext">
    <w:name w:val="long_text"/>
    <w:basedOn w:val="DefaultParagraphFont"/>
    <w:rsid w:val="00D063EE"/>
  </w:style>
  <w:style w:type="character" w:customStyle="1" w:styleId="hpsatn">
    <w:name w:val="hps atn"/>
    <w:basedOn w:val="DefaultParagraphFont"/>
    <w:rsid w:val="00892C61"/>
  </w:style>
  <w:style w:type="character" w:customStyle="1" w:styleId="Heading3Char">
    <w:name w:val="Heading 3 Char"/>
    <w:basedOn w:val="DefaultParagraphFont"/>
    <w:link w:val="Heading3"/>
    <w:rsid w:val="00A1276A"/>
    <w:rPr>
      <w:b/>
      <w:color w:val="000000"/>
      <w:sz w:val="24"/>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NGEJ001\Local%20Settings\Temporary%20Internet%20Files\OLK9\Memo%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Memo (2)</Template>
  <TotalTime>1</TotalTime>
  <Pages>11</Pages>
  <Words>4071</Words>
  <Characters>23211</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Report A4</vt:lpstr>
    </vt:vector>
  </TitlesOfParts>
  <Company>MEU</Company>
  <LinksUpToDate>false</LinksUpToDate>
  <CharactersWithSpaces>27228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A4</dc:title>
  <dc:subject>Report Template</dc:subject>
  <dc:creator>Government of Malta</dc:creator>
  <cp:keywords>Report A4</cp:keywords>
  <cp:lastModifiedBy>Gov_User</cp:lastModifiedBy>
  <cp:revision>2</cp:revision>
  <cp:lastPrinted>2013-09-19T12:07:00Z</cp:lastPrinted>
  <dcterms:created xsi:type="dcterms:W3CDTF">2014-02-12T08:46:00Z</dcterms:created>
  <dcterms:modified xsi:type="dcterms:W3CDTF">2014-02-12T08:46:00Z</dcterms:modified>
</cp:coreProperties>
</file>