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589" w:rsidRPr="00CD0C30" w:rsidRDefault="00993589" w:rsidP="00993589">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993589" w:rsidRPr="00CD0C30" w:rsidRDefault="00993589" w:rsidP="00993589">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993589" w:rsidRPr="00CD0C30" w:rsidRDefault="00993589" w:rsidP="00993589">
      <w:pPr>
        <w:spacing w:after="0"/>
        <w:jc w:val="center"/>
        <w:rPr>
          <w:rFonts w:ascii="Times New Roman" w:hAnsi="Times New Roman" w:cs="Times New Roman"/>
          <w:b/>
          <w:i/>
          <w:sz w:val="24"/>
          <w:szCs w:val="24"/>
          <w:lang w:val="it-IT"/>
        </w:rPr>
      </w:pPr>
    </w:p>
    <w:p w:rsidR="00993589" w:rsidRPr="00CD0C30" w:rsidRDefault="00993589" w:rsidP="00993589">
      <w:pPr>
        <w:spacing w:after="0"/>
        <w:jc w:val="center"/>
        <w:rPr>
          <w:rFonts w:ascii="Times New Roman" w:hAnsi="Times New Roman" w:cs="Times New Roman"/>
          <w:b/>
          <w:i/>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46</w:t>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14</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Lulju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993589" w:rsidRPr="00CD0C30" w:rsidRDefault="00993589" w:rsidP="00993589">
      <w:pPr>
        <w:spacing w:after="0"/>
        <w:jc w:val="center"/>
        <w:rPr>
          <w:rFonts w:ascii="Times New Roman" w:hAnsi="Times New Roman" w:cs="Times New Roman"/>
          <w:b/>
          <w:i/>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46</w:t>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14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Lulju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pPr>
    </w:p>
    <w:p w:rsidR="00993589" w:rsidRPr="00CD0C30" w:rsidRDefault="00993589" w:rsidP="00993589">
      <w:pPr>
        <w:spacing w:after="0"/>
        <w:jc w:val="center"/>
        <w:rPr>
          <w:rFonts w:ascii="Times New Roman" w:hAnsi="Times New Roman" w:cs="Times New Roman"/>
          <w:b/>
          <w:sz w:val="24"/>
          <w:szCs w:val="24"/>
          <w:lang w:val="it-IT"/>
        </w:rPr>
        <w:sectPr w:rsidR="00993589" w:rsidRPr="00CD0C30" w:rsidSect="00BF09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7</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55</w:t>
      </w:r>
      <w:r w:rsidRPr="00CD0C30">
        <w:rPr>
          <w:rFonts w:ascii="Times New Roman" w:hAnsi="Times New Roman" w:cs="Times New Roman"/>
          <w:b/>
          <w:sz w:val="24"/>
          <w:szCs w:val="24"/>
          <w:lang w:val="it-IT"/>
        </w:rPr>
        <w:t>p.m.</w:t>
      </w:r>
    </w:p>
    <w:p w:rsidR="00993589" w:rsidRPr="00993589" w:rsidRDefault="00993589" w:rsidP="00993589">
      <w:pPr>
        <w:spacing w:after="0" w:line="240" w:lineRule="auto"/>
        <w:jc w:val="center"/>
        <w:rPr>
          <w:rFonts w:ascii="Times New Roman" w:hAnsi="Times New Roman" w:cs="Times New Roman"/>
          <w:sz w:val="24"/>
          <w:szCs w:val="24"/>
          <w:lang w:val="mt-MT"/>
        </w:rPr>
      </w:pPr>
      <w:r w:rsidRPr="00993589">
        <w:rPr>
          <w:rFonts w:ascii="Times New Roman" w:hAnsi="Times New Roman" w:cs="Times New Roman"/>
          <w:b/>
          <w:sz w:val="24"/>
          <w:szCs w:val="24"/>
          <w:lang w:val="mt-MT"/>
        </w:rPr>
        <w:lastRenderedPageBreak/>
        <w:t>MINUTI</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 xml:space="preserve">Il-Minuti tal-Laqgħa Nru. 45, li saret nhar it-Tnejn, 7 ta’ Lulju 2014, ġew ikkonfermati.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lang w:val="mt-MT"/>
        </w:rPr>
      </w:pPr>
      <w:r w:rsidRPr="00993589">
        <w:rPr>
          <w:rFonts w:ascii="Times New Roman" w:hAnsi="Times New Roman" w:cs="Times New Roman"/>
          <w:b/>
          <w:lang w:val="mt-MT"/>
        </w:rPr>
        <w:t>THE CHAIRMAN (Onor. Jason Azzopardi):</w:t>
      </w:r>
      <w:r w:rsidRPr="00993589">
        <w:rPr>
          <w:rFonts w:ascii="Times New Roman" w:hAnsi="Times New Roman" w:cs="Times New Roman"/>
          <w:lang w:val="mt-MT"/>
        </w:rPr>
        <w:t xml:space="preserve">  Infakkar lill-Kumitat li rċevejt korrispondenza datata 9 ta’ Awwissu 2014 – għalkemm id-data għandha tkun 9 ta’ Lulju 2014 – mingħand l-Inġinier Alex Tranter, liema korrispondenza diġà ġiet iċċirkolata lill-Membri tal-Kumitat, u qed nippreżentaha lill-Kumitat formalment sabiex tkun tista’ tiġi </w:t>
      </w:r>
      <w:r w:rsidRPr="00993589">
        <w:rPr>
          <w:rFonts w:ascii="Times New Roman" w:hAnsi="Times New Roman" w:cs="Times New Roman"/>
          <w:i/>
          <w:lang w:val="mt-MT"/>
        </w:rPr>
        <w:t>uploaded</w:t>
      </w:r>
      <w:r w:rsidRPr="00993589">
        <w:rPr>
          <w:rFonts w:ascii="Times New Roman" w:hAnsi="Times New Roman" w:cs="Times New Roman"/>
          <w:lang w:val="mt-MT"/>
        </w:rPr>
        <w:t xml:space="preserve"> fuq il-</w:t>
      </w:r>
      <w:r w:rsidRPr="00993589">
        <w:rPr>
          <w:rFonts w:ascii="Times New Roman" w:hAnsi="Times New Roman" w:cs="Times New Roman"/>
          <w:i/>
          <w:lang w:val="mt-MT"/>
        </w:rPr>
        <w:t>website</w:t>
      </w:r>
      <w:r w:rsidRPr="00993589">
        <w:rPr>
          <w:rFonts w:ascii="Times New Roman" w:hAnsi="Times New Roman" w:cs="Times New Roman"/>
          <w:lang w:val="mt-MT"/>
        </w:rPr>
        <w:t xml:space="preserve"> tal-Parlament.  Jekk il-Membri jippermettuli, se naqra biss parti minnha li tgħid hekk: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ind w:left="720"/>
        <w:jc w:val="both"/>
        <w:rPr>
          <w:rFonts w:ascii="Times New Roman" w:hAnsi="Times New Roman" w:cs="Times New Roman"/>
          <w:lang w:val="mt-MT"/>
        </w:rPr>
      </w:pPr>
      <w:r w:rsidRPr="00993589">
        <w:rPr>
          <w:rFonts w:ascii="Times New Roman" w:hAnsi="Times New Roman" w:cs="Times New Roman"/>
          <w:i/>
          <w:lang w:val="mt-MT"/>
        </w:rPr>
        <w:t>“I refer to the testimony given by Prof. Falzon in front of your Committee on Monday 7th July in conjunction with the Auditor General report ...”</w:t>
      </w:r>
      <w:r w:rsidRPr="00993589">
        <w:rPr>
          <w:rFonts w:ascii="Times New Roman" w:hAnsi="Times New Roman" w:cs="Times New Roman"/>
          <w:lang w:val="mt-MT"/>
        </w:rPr>
        <w:t xml:space="preserve">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lang w:val="mt-MT"/>
        </w:rPr>
      </w:pPr>
      <w:r w:rsidRPr="00993589">
        <w:rPr>
          <w:rFonts w:ascii="Times New Roman" w:hAnsi="Times New Roman" w:cs="Times New Roman"/>
          <w:lang w:val="mt-MT"/>
        </w:rPr>
        <w:t>F’din l-ittra, l-Inġ. Tranter jagħti l-verżjoni tiegħu ta’ dak li qal il-Prof. Joseph Falzon, u qed jgħid li qed jaraha stramba għaliex il-Prof. Falzon għażel li jattakkah personalment wara li ġie xolt il-</w:t>
      </w:r>
      <w:r w:rsidRPr="00993589">
        <w:rPr>
          <w:rFonts w:ascii="Times New Roman" w:hAnsi="Times New Roman" w:cs="Times New Roman"/>
          <w:i/>
          <w:lang w:val="mt-MT"/>
        </w:rPr>
        <w:t>Fuel Procurement Advisory Committee</w:t>
      </w:r>
      <w:r w:rsidRPr="00993589">
        <w:rPr>
          <w:rFonts w:ascii="Times New Roman" w:hAnsi="Times New Roman" w:cs="Times New Roman"/>
          <w:lang w:val="mt-MT"/>
        </w:rPr>
        <w:t xml:space="preserve"> (FPAC) f’Marzu 2008.  Annessa ma’ din il-korrispondenza hawn ukoll ittra datata 13 ta’ Marzu 2008 mingħand is-Sur Roderick Chalmers lill-Ministru Austin Gatt dwar l-FPAC, u ittra oħra datata 24 ta’ Marzu 2008 mibgħuta mill-Ministru Austin Gatt liċ-Chairman tal-Enemalta fejn, fost affarijiet oħra, qed tgħid: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ind w:left="720"/>
        <w:jc w:val="both"/>
        <w:rPr>
          <w:rFonts w:ascii="Times New Roman" w:hAnsi="Times New Roman" w:cs="Times New Roman"/>
          <w:lang w:val="mt-MT"/>
        </w:rPr>
      </w:pPr>
      <w:r w:rsidRPr="00993589">
        <w:rPr>
          <w:rFonts w:ascii="Times New Roman" w:hAnsi="Times New Roman" w:cs="Times New Roman"/>
          <w:i/>
          <w:lang w:val="mt-MT"/>
        </w:rPr>
        <w:t>“The FPAC is being dissolved, and I would appreciate it if you inform the members accordingly and thank them for their sterling work.”</w:t>
      </w:r>
      <w:r w:rsidRPr="00993589">
        <w:rPr>
          <w:rFonts w:ascii="Times New Roman" w:hAnsi="Times New Roman" w:cs="Times New Roman"/>
          <w:lang w:val="mt-MT"/>
        </w:rPr>
        <w:t xml:space="preserve">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lang w:val="mt-MT"/>
        </w:rPr>
      </w:pPr>
      <w:r w:rsidRPr="00993589">
        <w:rPr>
          <w:rFonts w:ascii="Times New Roman" w:hAnsi="Times New Roman" w:cs="Times New Roman"/>
          <w:lang w:val="mt-MT"/>
        </w:rPr>
        <w:t xml:space="preserve">Kif għedt, din il-korrispondenza diġà ġiet iċċirkolata lill-Membri tal-Kumitat, u mil-lejla, jew għada filgħodu, tkun </w:t>
      </w:r>
      <w:r w:rsidRPr="00993589">
        <w:rPr>
          <w:rFonts w:ascii="Times New Roman" w:hAnsi="Times New Roman" w:cs="Times New Roman"/>
          <w:i/>
          <w:lang w:val="mt-MT"/>
        </w:rPr>
        <w:t xml:space="preserve">on line </w:t>
      </w:r>
      <w:r w:rsidRPr="00993589">
        <w:rPr>
          <w:rFonts w:ascii="Times New Roman" w:hAnsi="Times New Roman" w:cs="Times New Roman"/>
          <w:lang w:val="mt-MT"/>
        </w:rPr>
        <w:t xml:space="preserve">sabiex il-pubbliku kollu jkun jista’ jaċċessahom.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lang w:val="mt-MT"/>
        </w:rPr>
      </w:pPr>
      <w:r w:rsidRPr="00993589">
        <w:rPr>
          <w:rFonts w:ascii="Times New Roman" w:hAnsi="Times New Roman" w:cs="Times New Roman"/>
          <w:lang w:val="mt-MT"/>
        </w:rPr>
        <w:t>Nistgħu issa ngħaddu għall-</w:t>
      </w:r>
      <w:r w:rsidRPr="00993589">
        <w:rPr>
          <w:rFonts w:ascii="Times New Roman" w:hAnsi="Times New Roman" w:cs="Times New Roman"/>
          <w:i/>
          <w:lang w:val="mt-MT"/>
        </w:rPr>
        <w:t>item</w:t>
      </w:r>
      <w:r w:rsidRPr="00993589">
        <w:rPr>
          <w:rFonts w:ascii="Times New Roman" w:hAnsi="Times New Roman" w:cs="Times New Roman"/>
          <w:lang w:val="mt-MT"/>
        </w:rPr>
        <w:t xml:space="preserve"> li għandna fuq l-aġenda llejla.</w:t>
      </w:r>
    </w:p>
    <w:p w:rsidR="00993589" w:rsidRDefault="00993589" w:rsidP="00993589">
      <w:pPr>
        <w:spacing w:after="0" w:line="240" w:lineRule="auto"/>
        <w:jc w:val="both"/>
        <w:rPr>
          <w:rFonts w:ascii="Times New Roman" w:hAnsi="Times New Roman" w:cs="Times New Roman"/>
          <w:lang w:val="mt-MT"/>
        </w:rPr>
      </w:pPr>
    </w:p>
    <w:p w:rsid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center"/>
        <w:rPr>
          <w:rFonts w:ascii="Times New Roman" w:hAnsi="Times New Roman" w:cs="Times New Roman"/>
          <w:b/>
          <w:sz w:val="24"/>
          <w:szCs w:val="24"/>
          <w:lang w:val="mt-MT"/>
        </w:rPr>
      </w:pPr>
      <w:proofErr w:type="gramStart"/>
      <w:r w:rsidRPr="00993589">
        <w:rPr>
          <w:rFonts w:ascii="Times New Roman" w:hAnsi="Times New Roman" w:cs="Times New Roman"/>
          <w:b/>
          <w:sz w:val="24"/>
          <w:szCs w:val="24"/>
        </w:rPr>
        <w:lastRenderedPageBreak/>
        <w:t>RAPPORT TAL</w:t>
      </w:r>
      <w:r w:rsidRPr="00993589">
        <w:rPr>
          <w:rFonts w:ascii="Times New Roman" w:hAnsi="Times New Roman" w:cs="Times New Roman"/>
          <w:b/>
          <w:sz w:val="24"/>
          <w:szCs w:val="24"/>
        </w:rPr>
        <w:noBreakHyphen/>
        <w:t xml:space="preserve">AWDITUR ĠENERALI – </w:t>
      </w:r>
      <w:r w:rsidRPr="00993589">
        <w:rPr>
          <w:rFonts w:ascii="Times New Roman" w:hAnsi="Times New Roman" w:cs="Times New Roman"/>
          <w:b/>
          <w:i/>
          <w:sz w:val="24"/>
          <w:szCs w:val="24"/>
        </w:rPr>
        <w:t>AN ANALYSIS OF THE EFFECTIVENESS OF THE ENEMALTA CORPORATION’S FUEL PROCUREMENT</w:t>
      </w:r>
      <w:r w:rsidRPr="00993589">
        <w:rPr>
          <w:rFonts w:ascii="Times New Roman" w:hAnsi="Times New Roman" w:cs="Times New Roman"/>
          <w:b/>
          <w:sz w:val="24"/>
          <w:szCs w:val="24"/>
          <w:lang w:val="mt-MT"/>
        </w:rPr>
        <w:t xml:space="preserve"> (Kont.)</w:t>
      </w:r>
      <w:proofErr w:type="gramEnd"/>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Nitlob li jissejjaħ is-Sur Roderick Chalmers.</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Is-Sur Roderick Chalmers daħal fil-Kamra.</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Good evening, Mr Chalmers.  On behalf of the Committee, I have to apologise for the delay in starting the meeting, but the Members of the Committee had to be present in the Plenary because there was a declaration by the Prime Minister.  You will now be given the oath.  Kindly keep in mind – this is a standard declaration I make to each and every witness that gives evidence before this Committee – that the meeting is being streamed live on the Internet, and also that whatever you say might be used in any way against you, so you have the right not to incriminate yourself.</w:t>
      </w:r>
      <w:r w:rsidRPr="00993589">
        <w:rPr>
          <w:rFonts w:ascii="Times New Roman" w:hAnsi="Times New Roman" w:cs="Times New Roman"/>
          <w:lang w:val="mt-MT"/>
        </w:rPr>
        <w:t xml:space="preserve">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I, Roderick Chalmers, swear to tell the truth, the whole truth and nothing but the truth, so help me God.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So, as far as the proceedings go, am I to inderstand that while we can pose the questions in Maltese you will be answering in English?  Is that agreeable with you?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Absolutely.  I don’t mind that questions or discussion are in Maltese, but I prefer to answer in English, as it is my spoken language.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Fair enough.  Before starting the discussion, I would like to point out that there are some media personnel present who are asking for permission to take photographs and also film the first few minutes of the meeting.  Are there any objections?  There do not appear to be any objections, so permission is being granted to the media for the </w:t>
      </w:r>
      <w:r w:rsidRPr="00993589">
        <w:rPr>
          <w:rFonts w:ascii="Times New Roman" w:hAnsi="Times New Roman" w:cs="Times New Roman"/>
          <w:i/>
          <w:lang w:val="mt-MT"/>
        </w:rPr>
        <w:lastRenderedPageBreak/>
        <w:t xml:space="preserve">coverage for the first few moments of the testimony by Mr Chalmers.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 xml:space="preserve">Mr Chalmers, could you please put us in the picture and tell us who Roderick Chalmers is as far as the professional expertise and your experience in the financial services sector are concerned?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I’m a chartered accountant, and I qualified in London in 1970 and worked in Malta for 10 years in the Seventies as a partner with Coopers &amp; Lybrand’s Operation in Malta.  I then left Malta in 1983 with my family and went to Hong Kong, where I was a partner with Coopers &amp; Lybrand Operations in Hong Kong and China.  In 1990, I was elected senior partner or Chief Executive of Coopers &amp; Lybrand Operations in Hong Kong and China and, at the same time, I became Chairman of the firm’s South-East Asian operations across seven countries in the Far East.  In 1995, I was elected to the Coopers &amp; Lybrand International Board, which was a board of 12 directors which had responsibility for the oversight of the global operations in Coopers &amp; Lybrand.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 xml:space="preserve">Whilst I was a member of the Coopers &amp; Lybrand Board of Directors, I became involved in the negotiations that led to the merger of Coopers &amp; Lybrand and PricewaterhouseCoopers (PwC), and that resulted in the formation of PwC as we know it today, which is the largest professional services firm in the world.  Upon the consummation of the merger with which I was actively involved, I was appointed Chairman of PwC’s operations in the Asia Pacific, where I had overall responsibility for the activities of the firm across the 14 countries of the Asia Pacific, which is a large operation with 25,000 staff, and where revenues in those days were close to USD2 billion.  I was also appointed to the global board of PwC, which as I said was the largest professional services firm in the world at that time – and still is today –  and had 25,000 people working in the firm, and revenues were over USD20 billion.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lastRenderedPageBreak/>
        <w:t xml:space="preserve">Throughout my time with Coopers &amp; Lybrand, and then with PwC, I specialised in the area of financial services; I had many clients in the financial services’ sector, big names that you would recognize like Goldman Sachs, UBS, Schroders and Fidelity that I worked with on a regular basis.  My expertise in that area was recognized, and then, between 1992 and 1998, I was appointed a non-executive director of the Securities and Futures Commission in Hong Kong, which is like the MFSA of Hong Kong, and had oversight of the activities of the Stock Exchange and the futures exchange in Hong Kong.  I was also a member of the Banking Advisory Committee, which was a statutory body appointed to advise the Minister of Finance in Hong Kong and the Hong Kong Monetary Authority.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 xml:space="preserve">I retired from Coopers &amp; Lybrand in 2000 after a career of 30 years with the firm.  I wasn’t quite ready to hit the beach, so I went to Edinburgh University for four years, and I did a full-time Masters’ degree for four years, before returning to Malta in 2004, after an absence of 20 years.  In November 2004, I was invited to become non-executive Chairman of the Bank of Valletta here in Malta, was appointed in November 2004, and I continued as Chairman of the Bank until I stood down for personal reasons in July 2012.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Thank you very much.  Can you tell us what was your professional relationship with Enemalta?  Maybe you can tell us when did it start and which roles did you occupy, and then amplify on them.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I think I had two roles with Enemalta: clearly, Enemalta was an important customer of Bank if Valletta and, as Chairman of the Bank, I was familiar with the activities of Enemalta.  I think specific to this inquiry, in November 2005 I received a call from then Minister Gatt, and he asked me whether I would be prepared to chair the FPAC.  After some discussion in which I asked him questions, I said I would need to think about it and I need to know a bit more about the role of the FPAC before I could decide whether to accept.  He said I was free to ask as many </w:t>
      </w:r>
      <w:r w:rsidRPr="00993589">
        <w:rPr>
          <w:rFonts w:ascii="Times New Roman" w:hAnsi="Times New Roman" w:cs="Times New Roman"/>
          <w:i/>
          <w:lang w:val="mt-MT"/>
        </w:rPr>
        <w:lastRenderedPageBreak/>
        <w:t xml:space="preserve">questions I wanted and to seek information, which is what I went out and started to do.  There was, as I am sure you are already aware, already a FPAC in place, which for simplicity I will refer to as FPAC1, chaired by Prof. Falzon, and had as members Saviour Briffa – who was then with the Central Bank of Malta – and Dr. Godwin Debono, who was with the OPM’s Oil Exploration Division.  The role of FPAC1 had been determined at the time of its appointment: it was asked to look at the question of what financial instruments might be available for hedging.  But it was also asked to look at the question of risk within the fuel procurement role. It also became involved – because I had read the Minutes of the time – in some technical aspects relating to specification of oils supplied to Enemalta.  As I understood matters, the request from Minister Gatt resulted from a number of factors.  One, there had been at that time, in the second or third and fourth quarter of 2005, an extreme volatility in the oil market which was having an adverse impact on the finances and financial performance of Enemalta, and there was some pressure for the Corporation to become involved in hedging activities in order to contain some of this volatility.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You just used the phrase “there was some pressure”.  Can you please amplify on that?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Well, as I understood, there were recommendations being made to the Minister from FPAC1 that Enemalta should become actively involved in hedging activities.  I also understood at that time that there had been some previous experience in hedging – not in the immediate past, but going back quite some time – and it had not been an entirely happy experience, and there had been some criticism.  I think the Minister wanted the benefit of an additional view on the question of hedging by Enemalta.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 xml:space="preserve">Following the invitation from the Minister, I met with Alex Tranter on the 11 November 2005 for a background briefing, and also to obtain from him – and I also met with Pippo Pandolfino at the time – some financial information and some other data in order for me to try and assess what </w:t>
      </w:r>
      <w:r w:rsidRPr="00993589">
        <w:rPr>
          <w:rFonts w:ascii="Times New Roman" w:hAnsi="Times New Roman" w:cs="Times New Roman"/>
          <w:i/>
          <w:lang w:val="mt-MT"/>
        </w:rPr>
        <w:lastRenderedPageBreak/>
        <w:t xml:space="preserve">the situation in Enemalta was from a financial perspective.  I also met one-on-one with Prof. Falzon on 28 November 2005, and I met informally with the FPAC1 on 2 December 2005.  It was on 20 December 2005 that I was formally appointed as Chairman of FPAC2, and this new committee consisted of the three members of FPAC1, i.e. Falzon, Briffa and Debono, myself as the appointed chairman, and also Gordon Cordina the economist was also invited to join FPAC2.  The new committee also had in attendance at all meetings Pippo Pandolfino, who was the Chief Financial Officer (CFO) of Enemalta, Engineer Philip Borg from the Petroleum Division, who was there to provide technical advice on matters relating to fuel procurement, and we had, as a secretary to the committee, Godfrey Scicluna who attended all meetings.  I went away over the Christmas break, and worked on analysing all the financial information and other data that I had assembled, and I then met with Minister Gatt on 6 January 2006, and the purpose of my meeting was to brief him on my preliminary impressions following my own meetings with Falzon, Tranter, Pandolfino and the FPAC1 members, as well as to give him my honest objective assessment of what the situation was insofar as Enemalta and fuel procurement was concerned.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 xml:space="preserve">My views were expressed under four separate and distinct headings.  The first thing I said was that I thought it was very important that the terms of reference for FPAC2 had to be absolutely clear, i.e. what was the objective of the establishment of FPAC2, and I also said that in my view FPAC2 should be a Task Force; it had a job of work to do, it should do that job of work, make its recommendations and then it should be dissolved.  The reason I say that is that I do not believe in a corporation like Enemalta, where you have a degree of volatility in its product, having a committee taking executive decisions which meets only once a month, because things move quickly, and those are decisions that need to be taken on an hourly basis by people within the corporation on a full time basis.  The second thing I said to the Minister was that the real issue that he should be looking at in Malta is not hedging: the real issue that required very serious and urgent </w:t>
      </w:r>
      <w:r w:rsidRPr="00993589">
        <w:rPr>
          <w:rFonts w:ascii="Times New Roman" w:hAnsi="Times New Roman" w:cs="Times New Roman"/>
          <w:i/>
          <w:lang w:val="mt-MT"/>
        </w:rPr>
        <w:lastRenderedPageBreak/>
        <w:t>attention was the question of the articulation of a proper strategy for product pricing.  If you like, I can talk about that a little bit more in a moment.  I said that, insofar as hedging was concerned, what was absolutely needed was not just to talk about hedging – it is very easy to talk about hedging, and there are lots of experts – but for the articulation of what is the objective, and what one is trying to see from the implementation of a hedging programme.  Also, based on my experience, I cautioned the Minister that I had very serious doubts about the adequacy of the financial and management infrastructure and expertise that was in place in Enemalta for the administration of any sophisticated hedging or derivatives programme, and cautioned him on the dangers of embarking on such a programme if he did not have that management expertise in place.  The outcome of that meeting with Minister Gatt and Alex Tranter was that they invited me to ensure that all the points that I had spoken about and that I had articulated to the Minister should be addressed in any submissions that would be made by FPAC2 to the Minister and to Enemalta in due course.  So, comforted with the knowledge and the insurance that proper terms of reference would be drawn up, and having made some cautionary remarks on other areas, FPAC2 meetings were held: the first one was held on the 10th January 2006, and the second meeting was held on the 16th February 2006.  A great deal of work was carried out in between these meetings, and then reported back to the full Committee.  I personally presented the preliminary findings of FPAC2</w:t>
      </w:r>
      <w:r w:rsidRPr="00993589">
        <w:rPr>
          <w:rFonts w:ascii="Times New Roman" w:hAnsi="Times New Roman" w:cs="Times New Roman"/>
          <w:b/>
          <w:i/>
          <w:lang w:val="mt-MT"/>
        </w:rPr>
        <w:t xml:space="preserve"> </w:t>
      </w:r>
      <w:r w:rsidRPr="00993589">
        <w:rPr>
          <w:rFonts w:ascii="Times New Roman" w:hAnsi="Times New Roman" w:cs="Times New Roman"/>
          <w:i/>
          <w:lang w:val="mt-MT"/>
        </w:rPr>
        <w:t>to Alex Tranter and the full Board of Directors of Enemalta at a meeting that was held at Enemalta premises in Marsa on the 9th March 2006.  Likewise, I made a personal presentation to the Minister the following day at his offices in Strait Street.</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After the feedback we got from those two meetings, we did some further work on our draft report on our preliminery findings, and on the 30th March a report was submitted to Enemalta’s Board of Directors.  I believe this learned Committee was already presented with a copy of this report.</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lastRenderedPageBreak/>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Yes, in fact it has been presented to the Committee; but can you kindly indicate, for those who are not in this room and are following the debate, which report you are referring to.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The document is called “Fuel Procurement Advisory Committee – Recommandations to the Board of Directors of Enemalta”.  It is dated 30th March 2006, and is signed by me in my capacity as Chairman of FPAC2.  The document was delivered to Alex Tranter on the 3rd April 2006, and on the same day a hard copy of the report was sent to Minister Gatt.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Let me please go back to some of the points you referred to:  you said that on the 28th November 2005 you had a one-to-one meeting with Prof. Falzon.  Can you please give us your take on that meeting?</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 Prof. Falzon was obviously a little sore – if that’s the right word – that the Committee had been expanded, and that I have been asked to ...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take his place.</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No, I would not say that I had been asked to take his place, but to become chairman of the Committee.  He was very insistent that the Board directors should implement the recommendations that had been made on the question of hedging.  I said that I understood his sensitivity, but I said that was not a decision for me to take, and I assured him that I certainly did not go looking to become chairman of FPAC2, but I had been asked to do so, and I had accepted with a degree of reluctancy because I had quite a lot of work to do at the time.  I also said that having been asked to do it, I would do it properly, and that I would work closely with him in the activities of the Committee, as indeed I did.  This report, which was submitted on the 30th March, was not my report but was a report that had been adopted unanimously by the FPAC2 of which Prof. Falzon was a member.</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lastRenderedPageBreak/>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So your predecessor, Prof. Falzon, was a member of the Committee under your chairmanship, which basically agreed unanimously with those recommendations.</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Yes.  I should add that, in the first formal meeting, which was on the 10th January, he did raise again the question of why Enemalta had not implemented the hedging recommendation made by FPAC1.  I said again that that was not a decision for me to take, but I did say, since he was insisting about it, that I would write to the Chairman of Enemalta and point out to the Chairman of Enemalta that the members of FPAC 1 had made recommendations in writing to the Board, had not had any feedback, and wished to once again bring the attention of those previous submissions to the Chairman of Enemalta.  I did in fact write a letter in which I made that observation of behalf of the members of FPAC2 who were part of FPAC1 before.</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I noticed that during the course of your testimony you mentioned that on two occasions, on the 6th January 2006 and on the 10th March 2006, you had met Minister Austin Gatt.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Yes.</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Did you encounter any difficulty whatsoever to make an appointment and meet Minister Gatt during the course of your tenure as Chairman of FPAC2?</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Absolutely not.  In fact, when I first became Chairman of Bank of Valletta, this fell under Minister Gatt’s Ministry.  Whenever there was a need for me to meet with Minister Gatt – and at that time there was quite a lot of talk about the potential privatisation of Bank of Valletta – I had no difficulty in picking up the phone, speaking to his Personal Assistent, organizing an appointment and going to see him.</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So you had this open door scenario with the Minister responsible.  Did the Minister ever cross the line?  Did the Minister ever exercise any unwarranted or undue </w:t>
      </w:r>
      <w:r w:rsidRPr="00993589">
        <w:rPr>
          <w:rFonts w:ascii="Times New Roman" w:hAnsi="Times New Roman" w:cs="Times New Roman"/>
          <w:i/>
          <w:lang w:val="mt-MT"/>
        </w:rPr>
        <w:lastRenderedPageBreak/>
        <w:t>interference in your work or in the Committee’s work?</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Absolutely not, and I would not have accepted that in the hypothetical case had he tried to do so.</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I would imagine that you have read the Auditor General’s report.</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Yes I have: I asked Ms Brincat very kindly to send me a copy.  I have certainly read through the Executive Summary.</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Can I ask you to go to page 171 of the report and give us your views about the statement in paragraph 2.8.1, which I am quoting:</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autoSpaceDE w:val="0"/>
        <w:autoSpaceDN w:val="0"/>
        <w:adjustRightInd w:val="0"/>
        <w:spacing w:after="0" w:line="240" w:lineRule="auto"/>
        <w:ind w:left="720"/>
        <w:jc w:val="both"/>
        <w:rPr>
          <w:rFonts w:ascii="Times New Roman" w:hAnsi="Times New Roman" w:cs="Times New Roman"/>
          <w:i/>
          <w:lang w:val="mt-MT"/>
        </w:rPr>
      </w:pPr>
      <w:r w:rsidRPr="00993589">
        <w:rPr>
          <w:rFonts w:ascii="Times New Roman" w:hAnsi="Times New Roman" w:cs="Times New Roman"/>
          <w:i/>
          <w:lang w:val="mt-MT"/>
        </w:rPr>
        <w:t>“</w:t>
      </w:r>
      <w:r w:rsidRPr="00993589">
        <w:rPr>
          <w:rFonts w:ascii="Times New Roman" w:hAnsi="Times New Roman" w:cs="Times New Roman"/>
          <w:i/>
        </w:rPr>
        <w:t>From an essentially strategic perspective, NAO’s primary concern with respect to the operations of the FPC centres on the fact that no policy framework was in place during the period 2008 up to end 2010.</w:t>
      </w:r>
      <w:r w:rsidRPr="00993589">
        <w:rPr>
          <w:rFonts w:ascii="Times New Roman" w:hAnsi="Times New Roman" w:cs="Times New Roman"/>
          <w:i/>
          <w:lang w:val="mt-MT"/>
        </w:rPr>
        <w:t xml:space="preserve"> </w:t>
      </w:r>
      <w:r w:rsidRPr="00993589">
        <w:rPr>
          <w:rFonts w:ascii="Times New Roman" w:hAnsi="Times New Roman" w:cs="Times New Roman"/>
          <w:i/>
        </w:rPr>
        <w:t xml:space="preserve"> Prior to the formulation of the Corporation’s Fuel Procurement Policy in January 2011, Enemalta’s fuel procurement function was effectively operating in a policy vacuum.”</w:t>
      </w:r>
    </w:p>
    <w:p w:rsidR="00993589" w:rsidRPr="00993589" w:rsidRDefault="00993589" w:rsidP="00993589">
      <w:pPr>
        <w:autoSpaceDE w:val="0"/>
        <w:autoSpaceDN w:val="0"/>
        <w:adjustRightInd w:val="0"/>
        <w:spacing w:after="0" w:line="240" w:lineRule="auto"/>
        <w:jc w:val="both"/>
        <w:rPr>
          <w:rFonts w:ascii="Times New Roman" w:hAnsi="Times New Roman" w:cs="Times New Roman"/>
          <w:i/>
          <w:lang w:val="mt-MT"/>
        </w:rPr>
      </w:pPr>
    </w:p>
    <w:p w:rsidR="00993589" w:rsidRPr="00993589" w:rsidRDefault="00993589" w:rsidP="00993589">
      <w:pPr>
        <w:autoSpaceDE w:val="0"/>
        <w:autoSpaceDN w:val="0"/>
        <w:adjustRightInd w:val="0"/>
        <w:spacing w:after="0" w:line="240" w:lineRule="auto"/>
        <w:jc w:val="both"/>
        <w:rPr>
          <w:rFonts w:ascii="Times New Roman" w:hAnsi="Times New Roman" w:cs="Times New Roman"/>
          <w:i/>
          <w:lang w:val="mt-MT"/>
        </w:rPr>
      </w:pPr>
      <w:r w:rsidRPr="00993589">
        <w:rPr>
          <w:rFonts w:ascii="Times New Roman" w:hAnsi="Times New Roman" w:cs="Times New Roman"/>
          <w:i/>
          <w:lang w:val="mt-MT"/>
        </w:rPr>
        <w:t>If I understood correctly, you were Chairman between 2006 and 2008.</w:t>
      </w:r>
    </w:p>
    <w:p w:rsidR="00993589" w:rsidRPr="00993589" w:rsidRDefault="00993589" w:rsidP="00993589">
      <w:pPr>
        <w:autoSpaceDE w:val="0"/>
        <w:autoSpaceDN w:val="0"/>
        <w:adjustRightInd w:val="0"/>
        <w:spacing w:after="0" w:line="240" w:lineRule="auto"/>
        <w:jc w:val="both"/>
        <w:rPr>
          <w:rFonts w:ascii="Times New Roman" w:hAnsi="Times New Roman" w:cs="Times New Roman"/>
          <w:lang w:val="mt-MT"/>
        </w:rPr>
      </w:pPr>
    </w:p>
    <w:p w:rsidR="00993589" w:rsidRPr="00993589" w:rsidRDefault="00993589" w:rsidP="00993589">
      <w:pPr>
        <w:autoSpaceDE w:val="0"/>
        <w:autoSpaceDN w:val="0"/>
        <w:adjustRightInd w:val="0"/>
        <w:spacing w:after="0" w:line="240" w:lineRule="auto"/>
        <w:jc w:val="both"/>
        <w:rPr>
          <w:rFonts w:ascii="Times New Roman" w:hAnsi="Times New Roman" w:cs="Times New Roman"/>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Yes.</w:t>
      </w:r>
    </w:p>
    <w:p w:rsidR="00993589" w:rsidRPr="00993589" w:rsidRDefault="00993589" w:rsidP="00993589">
      <w:pPr>
        <w:autoSpaceDE w:val="0"/>
        <w:autoSpaceDN w:val="0"/>
        <w:adjustRightInd w:val="0"/>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This statement in the report of the Auditor General is saying that there was a vacuum between 2008 and 2010, meaning the two years immediately following the end of your chairmanship.  What are your views on the veracity and accuracy of this statement please?</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I have to go back to go forward.  I already made the observation that I was wasn’t involved between 2008 and 2011, so I’m not sure what happened there, but in order to understand this question of </w:t>
      </w:r>
      <w:r w:rsidRPr="00993589">
        <w:rPr>
          <w:rFonts w:ascii="Times New Roman" w:hAnsi="Times New Roman" w:cs="Times New Roman"/>
          <w:i/>
          <w:lang w:val="mt-MT"/>
        </w:rPr>
        <w:lastRenderedPageBreak/>
        <w:t xml:space="preserve">policy or strategic vacuum, I think that it is necessary to understand what the recommendations of FPAC2 were in this report of the 30th March 2006.  The first thing that I had said to Minister Gatt when I met him on the 6th January was that I thought the more important issue that Enemalta faced was not hedging, but pricing.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i/>
          <w:lang w:val="mt-MT"/>
        </w:rPr>
        <w:t xml:space="preserve">  Excuse my ignorance.  I understand that there is a distinction between hedging and pricing, but is there a direct relationship?  Is hedging a form to mitigate the effect of price fluctuations?</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i/>
          <w:lang w:val="mt-MT"/>
        </w:rPr>
        <w:t xml:space="preserve">  I am talking about pricing of Enemalta, rather than the pricing of fuel.  It is necessary to unpack Enemalta’s business a little bit to understand what we are talking about, because it is quite easy to talk about it as a monolith,</w:t>
      </w:r>
      <w:r w:rsidRPr="00993589">
        <w:rPr>
          <w:rFonts w:ascii="Times New Roman" w:hAnsi="Times New Roman" w:cs="Times New Roman"/>
          <w:b/>
          <w:i/>
          <w:lang w:val="mt-MT"/>
        </w:rPr>
        <w:t xml:space="preserve"> </w:t>
      </w:r>
      <w:r w:rsidRPr="00993589">
        <w:rPr>
          <w:rFonts w:ascii="Times New Roman" w:hAnsi="Times New Roman" w:cs="Times New Roman"/>
          <w:i/>
          <w:lang w:val="mt-MT"/>
        </w:rPr>
        <w:t xml:space="preserve">but it is not.  Enemalta has four businesses, or in those days had four businesses.  Let’s take the one which we put aside and did not look at any further: it imported liquified petroleum gas (LPG).  That was only about 3% of the volume of its business, and therefore on a </w:t>
      </w:r>
      <w:r w:rsidRPr="00993589">
        <w:rPr>
          <w:rFonts w:ascii="Times New Roman" w:hAnsi="Times New Roman" w:cs="Times New Roman"/>
          <w:lang w:val="mt-MT"/>
        </w:rPr>
        <w:t>de minimis</w:t>
      </w:r>
      <w:r w:rsidRPr="00993589">
        <w:rPr>
          <w:rFonts w:ascii="Times New Roman" w:hAnsi="Times New Roman" w:cs="Times New Roman"/>
          <w:i/>
          <w:lang w:val="mt-MT"/>
        </w:rPr>
        <w:t xml:space="preserve"> basis, the community said that we would not look at the LPG area any further.  The second business area that Enemalta was involved in is the importation of aviation fuel or jet fuel.  As the name suggests, jet fuel is sold to airlines for the flying of aircraft.  The position with jet fuel is that Enemalta imported jet fuel on a spot basis, on Platts 30 day average price, and sold it to the airline industry on the same basis, plus a small mark-up of a couple of dollars a barrel or metric tonne.  What Enemalta had as insofar as aviation fuel was concerned is a perfect hedge, it bought spot and it sold spot with a small mark-up.  So, from a financial perspective, all Enemalta had to do with aviation fuel and jet fuel was to secure security of supply and inventory management, etc.  Insofar as the consumer products were concerned – and this is really basically petrol and diesel –  Airmalta used to buy spot, and from 2001, because of the volatility of the market, it resorted to three-monthly or quarterly price adjustments to reflect after-the-effect basis.  It would change its price every quarter to reflect movements in the </w:t>
      </w:r>
      <w:r w:rsidRPr="00993589">
        <w:rPr>
          <w:rFonts w:ascii="Times New Roman" w:hAnsi="Times New Roman" w:cs="Times New Roman"/>
          <w:i/>
          <w:lang w:val="mt-MT"/>
        </w:rPr>
        <w:lastRenderedPageBreak/>
        <w:t xml:space="preserve">market.  In November 2005, because of the extreme volatility – I can show you some charts – it moved from a quarterly adjustment of petrol and diesel onto a monthly adjustment of petrol and diesel.  Generally speaking, the adjustments were pretty small.  So, with both jet fuel and retail and consumer products, a user-pay model was in place, so the market would pay what the market price for the commodity was.  Insofar as the fourth line of business that Enemalta had, which is power generation, this accounted for approximately 70% of the volume of Enemalta’s importation.  Enemalta imported approximately 900,000 metric tonnes of fuel on an annual basis, and 70% of the volume and 60% of the value, was for power generation.  Here Enemalta had a very different pricing policy.  I have here – if I may, I’ll just ask the Secretary to pass a copy to each Member of the Committee – a chart found inside the 30th March FPAC2 recommendations.  As I said, the position on power generation was that it accounted for 70% of the volume and 60% to 65% of the value of the 900,000 tonnes of imported fuel.  The Government would fix the price on an annual basis as part of the Government’s budgetary process.  It was not done by Enemalta, but by the Government as part of its budgetary process; it would fix the price of electricity generation.  Between 1999 and 2004, presumably for socio-economic and political purposes, the price of electricity to the consumer did not change, and that is marked by the red line on this chart.  In 2004, because of the volatility of the oil price, a surcharge of 17% was introduced, and in 2005, that surcharge was increased up to a maximum of 55%, with certain social class exemptions.  The blue line on the chart indicates the cost of oil which was imported for power generation.  There were two classes: there was the 1% fuel oil which had quite a high sulphur content, and Enemalta wanted to move away from it for environmental purposes, and there was 0.2% gasoil, which has less sulphur content and therefore is more environmental friendly.  What you can see from the chart is that, over the same period, when the cost of electricity went up by 17% to the consumer, the cost of fuel went up by 250% and  300%.  You don’t have to be a financial expert to know that to put up your prices by 17%, when the cost of your raw </w:t>
      </w:r>
      <w:r w:rsidRPr="00993589">
        <w:rPr>
          <w:rFonts w:ascii="Times New Roman" w:hAnsi="Times New Roman" w:cs="Times New Roman"/>
          <w:i/>
          <w:lang w:val="mt-MT"/>
        </w:rPr>
        <w:lastRenderedPageBreak/>
        <w:t xml:space="preserve">material goes up by 250%, is not a sustainable business model, and what I said to the Minister is that this was the first issue that needed to be addressed in any consideration of Enemalta’s financial position.  The recommendations that FPAC made in the 30th March report is that Enemalta needed to recognize that a user-pays policy needed to be articulated and needed to be adopted, i.e. the electricity prices had to reflect the prices of the commodity, which is the use of generation of electricity on the world markets.  That’s the starting point, and then one can look at hedging.  The second point is that one can look at hedging, but it is no use looking at hedging if you don’t address the fundamental problem, that the user-pays principle has to apply in a power generation  company.  Then it came to the question of hedging, and again one goes back to the four business lines that Enemalta is in.  Insofar as jet fuel is concerned, and jet fuel went up by 600% over the same period, Enemalta did not need to do any hedging because it was already perfectly hedged, because it bought spot and it sold spot to the airlines, and the airlines did their own hedging.  So airlines assumed the responsibility for hedging, and they needed to assume responsibility for hedging.  And looking at airlines is instrumental as to what hedging should do.  Hedging is, as the word suggests, fencing in your risk; you are trying to contain your risk.  As we know, if you want to fly to Hong Kong in six months’ time, you can book now and you get a price for it.  A lot of travel agents will take up seats or take up allocations well ahead of time, and airlines will sell seats well ahead of time.  I think something between 30% and 40% of an airline’s cost depending on the fuel price is accounted for by fuel.  So the airline’s purpose in hedging is to make sure it has certainty that it is going to pay for its fuel that cost which it is building into its selling price.  So they’re not trying not to make an outright profit on their hedging, but they’re trying to make sure that the cost of fuel that they will incur is the cost that they assumed in setting their selling price for the seat that they’re selling in the future.  But Enemalta did not have to do any hedging on jet fuel because it had been perfectly hedged.  Insofar as consumer products were concerned, the transfer-pricing </w:t>
      </w:r>
      <w:r w:rsidRPr="00993589">
        <w:rPr>
          <w:rFonts w:ascii="Times New Roman" w:hAnsi="Times New Roman" w:cs="Times New Roman"/>
          <w:i/>
          <w:lang w:val="mt-MT"/>
        </w:rPr>
        <w:lastRenderedPageBreak/>
        <w:t xml:space="preserve">mechanism, or the risk-transfer mechanism, is obviously not available to me and to you in terms of the fuel we buy for our car.  So the question was: Should Enemalta have some form of hedging for consumer products?  And the recommendation was that it would be nice to have less frequent price adjustments on consumer products; but one was not questioning the user-pays principle, but just getting a bit of price stability in taking out some of the short term volatility, and the recommendation was that, in terms of the consumer products, trying  to have a degree of hedging up to a period of three months or so, so that you could have a degree of stability and take out some of the volatility on fuel prices would be desirable, and that was the recommendation that was made.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 xml:space="preserve">On power generation, the view was that one starts with a user-pays principle, but one does need to have a slightly longer time horizon in terms of price stability, and this is because industry, business, hotels are selling their product or fixing their prices on a forward basis, and therefore would welcome having some forward visibility on what could be an important component of its cost.  And the recommendation there was that there should be a modest hedging programme, looking to get to secure some price stability over a three- to six-month basis.  That was the recommendation that was made and, as I understood, it was accepted both by the Board of Directors and also the Minister, not in his capacity as Minister, but as a representative shareholder of Enemalta.  So there was a very specific purpose behind the hedging programme that was being recommended, and that was to secure price stability in the case of consumer products over a three-month time horizon, whereas, in terms of power generation, over a slightly longer time horizon, and that’s it.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 xml:space="preserve">There are some who would go into hedging for the purpose of profit, and my strong view – and it was a view that was accepted by the Committee – is that when you hedge for the purposes of profit, it is not hedging anymore, but it is speculation, and speculation is a very dangerous thing to do, and many people are a lot cleverer than myself and the Minister and the Board of Directors of Enemalta, and others who </w:t>
      </w:r>
      <w:r w:rsidRPr="00993589">
        <w:rPr>
          <w:rFonts w:ascii="Times New Roman" w:hAnsi="Times New Roman" w:cs="Times New Roman"/>
          <w:i/>
          <w:lang w:val="mt-MT"/>
        </w:rPr>
        <w:lastRenderedPageBreak/>
        <w:t>were involved in it have come to a very sticky end in terms of speculating on oil prices, or currencies or other commodities, if they do not have a very clear objective of what they are trying to secure.  I’ll just give you one simple example of an airline that I know very well in Asia: I’ll pass out, if I may, another chart.  The orange line, which is Brent’s crude oil spot price, is the more relevant price as far as Enemalta is concerned.  This is a chart showing the behaviour of the price of crude oil over a ten-year period.  In 2007 and 2008, as all prices soared north, people were panicking, there was talk of oil prices going up to between $170 and even $200 a barrel, and one airline – which I said I know very well – in 2008 bought huge quantities of fuel forward at around a $100 a barrel.  In July 2008, oil hit $147 a barrel, and the authors of this particular hedging strategy looked like heroes.  In December 2008, the price of oil was $37 a barrel, and they did not look like heroes anymore, and they wrote off $1 billion of losses arising from this hedging strategy.  And this example can be repeated many times, not just in oil, but in currencies, copper, sugar, cocoa, etc.  Anybody who speculates, as opposed to hedging with a specific purpose in mind, will sooner or later be found out by the market.   And undoing will usually follow a period of success, which encourages them to believe that hedging is easy and people can walk on water.</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In fact, on this point, whilst giving evidence, Prof. Falzon made what I would term as a lot of song and dance on the fact that, if his recommendations for earlier hedging to take place would have been taken on board by government, Enemalta, the Minister or whoever was concerned, Enemalta would have saved a number of millions.  If I remember correctly, he mentioned the figure of $20 million.  On our questions, he admitted that he was saying this with the benefit of hindsight.  Were you aware, when you met him during the course of your tenure, that there was this misgiving on his part, because his considered advice was not acted upon and it had fallen on deaf ears?  If I remember correctly, he used the words “tkaxkir tas-saqajn”.  Is this in line with your assessment of the situation?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What I would say, Mr Chairman, is that the world is full of experts on hedging.  When they look at a chart like this, there are many experts looking back saying, “I would have bought here” or “I would have bought there”; but if you show them a blank chart and asked them where they would have bought, they might be less convincing, and if you asked them would they buy now, they would also be less convincing.  I think that is the danger of giving advice and opinions, including opinions given in a report, on perfect market conditions for hedging, because one is doing that with the benefit of hindsight, and of course one doesn’t have the benefit of hindsight when they’re sitting in the middle of a very volatile market.  Insofar as the specific recommendations on buying in 2005 are concerned, I have here a chart – which sits inside the report, but I’m also giving out a copy, if I may, to each Member of the Committee – which shows the price of the different type of fuels that Enemalta was involved in buying.  The blue line is the price of petrol that is imported, which is a refined form of crude.  As can be seen from this chart, in October 2005, the price of petrol on the market is about $720 per metric tonne.  In January 2006, the price of that same petrol was $450 per metric tonne.  That shows the degree of volatility.  Now, if you bought in October or even in November, you wouldn’t have looked so good two or three months later.  This is the volatility that decision makers at Enemalta were being faced with, and it’s not easy to make a decision in that environment, unless you know exactly what you’re trying to do.  And FPAC’s conclusion was that Enemalta was not equipped to out-guess the market on the long term, but was equipped to go into a hedging programme which would secure short-term price stability for the benefit of the consumer.  And to me, that is the ultimate articulation of the strategy: what are you trying to do?  The strategy of Enemalta is the user will pay the market price; but, for the benefit of the user and for the benefit of forward visibility which is required in industry, we will try and secure short-term price stability through a rolling hedging programme.  And, as I understand, that is exactly what Enemalta is </w:t>
      </w:r>
      <w:r w:rsidRPr="00993589">
        <w:rPr>
          <w:rFonts w:ascii="Times New Roman" w:hAnsi="Times New Roman" w:cs="Times New Roman"/>
          <w:i/>
          <w:lang w:val="mt-MT"/>
        </w:rPr>
        <w:lastRenderedPageBreak/>
        <w:t>doing today.  The market is different today in that, if you look at the first chart, you can see that the market since 2009 has been much less volatile and traded within a $20 range, but what Enemalta is doing now is saying that it is going to buy forward for six months, and that means that it can go out and tell the public and the industry and the consumer that the price of petrol and the price of electricity is going to be fixed for a six-month basis.  And to me, that is the ultimate articulation of strategy, and that was the proposal that was made by FPAC.  The rest of it, which forms the major part of the Auditor General’s report, is about the process and the procedures for the implementation of that policy, getting quotations, documentation, evidence, etc.  That is the implementation of a policy or strategy, the simple policy or strategy that is being articulated in the report recommended to Enemalta.  And, as we understood, the FPAC2 members, accepted both by the Enemalta Board and by the 100% shareholder Enemalta, and the former Minister.</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During the course of the evidence given by NAO in front of this Committee, they were quite adamant that the document you have referred to, the FPAC2 recommendations of the Board of Directors, constituted neither a strategy nor a policy, as far as fuel procuremenet was concerned.  Can you please give us your reaction to this?</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i/>
          <w:lang w:val="mt-MT"/>
        </w:rPr>
        <w:t xml:space="preserve">  You won’t be surprised to hear me say that I don’t agree with that statement because I think, at the risk of repeating myself, that it was very clear that we said that the Corporation must adopt a user-pays policy.    There’s no getting away from it: Enemalta is not going to be able to out-guess the market, and therefore the price to the consumer, be it of petrol or diesel, or be it of electricity generated, has to, over a period of time, reflect market prices.  But we understood the desirability from the social and economic perspective to having a degree of smoothing, a degree of mitigation of the volatility on a short-term basis.  And that was the recommendation of three months in terms of consumer products, and three to six months in terms of electricity generation.  That to me is strategy, that to me is </w:t>
      </w:r>
      <w:r w:rsidRPr="00993589">
        <w:rPr>
          <w:rFonts w:ascii="Times New Roman" w:hAnsi="Times New Roman" w:cs="Times New Roman"/>
          <w:i/>
          <w:lang w:val="mt-MT"/>
        </w:rPr>
        <w:lastRenderedPageBreak/>
        <w:t xml:space="preserve">policy.  How you then implement that – and the Auditor’s General Report is very powerful in its criticism of the shortcomings in the implementation of that – is a different matter.  If Enemalta continued with the recommendation we did, it had a very simple strategy and policy in place.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Mr Chalmers, sorry to interrupt.  If you just can tail off on this point, so that we can finish off by 9:00 p.m., and then there will definitely be the need for another sitting.  </w:t>
      </w:r>
    </w:p>
    <w:p w:rsidR="00993589" w:rsidRPr="00993589" w:rsidRDefault="00993589" w:rsidP="00993589">
      <w:pPr>
        <w:spacing w:after="0" w:line="240" w:lineRule="auto"/>
        <w:jc w:val="both"/>
        <w:rPr>
          <w:rFonts w:ascii="Times New Roman" w:hAnsi="Times New Roman" w:cs="Times New Roman"/>
          <w:i/>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IS-SUR RODERICK CHALMERS:</w:t>
      </w:r>
      <w:r w:rsidRPr="00993589">
        <w:rPr>
          <w:rFonts w:ascii="Times New Roman" w:hAnsi="Times New Roman" w:cs="Times New Roman"/>
          <w:i/>
          <w:lang w:val="mt-MT"/>
        </w:rPr>
        <w:t xml:space="preserve">  As I said, insofar as my views on the Auditor General’s Report, I think that, in terms of the processes and procedures, it is absolutely spot on, as I will expect it to be, it is very powerful in its criticism of the unacceptable practice in terms of lack of documentation, lack of authority, lack of audit trail, lack of evidence, etc.  I’m less persuaded when it comes to the observations in the report in terms of hedging, because I think the report falls into the trap of looking backwards, and looking backwards at a chart like the one I have here, identifying perfect market opportunities which I don’t think is appropriate, and I don’t accept that if, in 2008-2011 – as I said I was not around, so I’m not aware – it was following the recommendations made, then there was a very clearly articulated strategy in place on pricing and on hedging. </w:t>
      </w:r>
    </w:p>
    <w:p w:rsidR="00993589" w:rsidRPr="00993589" w:rsidRDefault="00993589" w:rsidP="00993589">
      <w:pPr>
        <w:spacing w:after="0" w:line="240" w:lineRule="auto"/>
        <w:jc w:val="both"/>
        <w:rPr>
          <w:rFonts w:ascii="Times New Roman" w:hAnsi="Times New Roman" w:cs="Times New Roman"/>
          <w:lang w:val="mt-MT"/>
        </w:rPr>
      </w:pPr>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b/>
          <w:lang w:val="mt-MT"/>
        </w:rPr>
        <w:t>THE CHAIRMAN:</w:t>
      </w:r>
      <w:r w:rsidRPr="00993589">
        <w:rPr>
          <w:rFonts w:ascii="Times New Roman" w:hAnsi="Times New Roman" w:cs="Times New Roman"/>
          <w:lang w:val="mt-MT"/>
        </w:rPr>
        <w:t xml:space="preserve">  </w:t>
      </w:r>
      <w:r w:rsidRPr="00993589">
        <w:rPr>
          <w:rFonts w:ascii="Times New Roman" w:hAnsi="Times New Roman" w:cs="Times New Roman"/>
          <w:i/>
          <w:lang w:val="mt-MT"/>
        </w:rPr>
        <w:t xml:space="preserve">Thank you very much.  The Committee is adjourned for Monday 28th July at 6:30 p.m. assuming that Parliament will still be in session, but we’ll play it by the ear.  </w:t>
      </w:r>
    </w:p>
    <w:p w:rsidR="00993589" w:rsidRPr="00993589" w:rsidRDefault="00993589" w:rsidP="00993589">
      <w:pPr>
        <w:spacing w:after="0" w:line="240" w:lineRule="auto"/>
        <w:jc w:val="both"/>
        <w:rPr>
          <w:rFonts w:ascii="Times New Roman" w:hAnsi="Times New Roman" w:cs="Times New Roman"/>
          <w:i/>
          <w:lang w:val="mt-MT"/>
        </w:rPr>
      </w:pPr>
      <w:bookmarkStart w:id="0" w:name="_GoBack"/>
      <w:bookmarkEnd w:id="0"/>
    </w:p>
    <w:p w:rsidR="00993589" w:rsidRPr="00993589" w:rsidRDefault="00993589" w:rsidP="00993589">
      <w:pPr>
        <w:spacing w:after="0" w:line="240" w:lineRule="auto"/>
        <w:jc w:val="both"/>
        <w:rPr>
          <w:rFonts w:ascii="Times New Roman" w:hAnsi="Times New Roman" w:cs="Times New Roman"/>
          <w:i/>
          <w:lang w:val="mt-MT"/>
        </w:rPr>
      </w:pPr>
      <w:r w:rsidRPr="00993589">
        <w:rPr>
          <w:rFonts w:ascii="Times New Roman" w:hAnsi="Times New Roman" w:cs="Times New Roman"/>
          <w:i/>
          <w:lang w:val="mt-MT"/>
        </w:rPr>
        <w:t>Fid-9:01 p.m., il-Kumitat aġġorna.</w:t>
      </w:r>
    </w:p>
    <w:sectPr w:rsidR="00993589" w:rsidRPr="00993589" w:rsidSect="0053206D">
      <w:footerReference w:type="default" r:id="rId13"/>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589" w:rsidRDefault="00993589" w:rsidP="00993589">
      <w:pPr>
        <w:spacing w:after="0" w:line="240" w:lineRule="auto"/>
      </w:pPr>
      <w:r>
        <w:separator/>
      </w:r>
    </w:p>
  </w:endnote>
  <w:endnote w:type="continuationSeparator" w:id="0">
    <w:p w:rsidR="00993589" w:rsidRDefault="00993589" w:rsidP="00993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4C" w:rsidRDefault="009935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89" w:rsidRDefault="00993589">
    <w:pPr>
      <w:pStyle w:val="Footer"/>
      <w:jc w:val="center"/>
    </w:pPr>
  </w:p>
  <w:p w:rsidR="00310782" w:rsidRDefault="009935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7174"/>
      <w:docPartObj>
        <w:docPartGallery w:val="Page Numbers (Bottom of Page)"/>
        <w:docPartUnique/>
      </w:docPartObj>
    </w:sdtPr>
    <w:sdtEndPr/>
    <w:sdtContent>
      <w:p w:rsidR="00261B4C" w:rsidRDefault="00993589">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99358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4736"/>
      <w:docPartObj>
        <w:docPartGallery w:val="Page Numbers (Bottom of Page)"/>
        <w:docPartUnique/>
      </w:docPartObj>
    </w:sdtPr>
    <w:sdtEndPr/>
    <w:sdtContent>
      <w:p w:rsidR="00E65DD3" w:rsidRDefault="00993589">
        <w:pPr>
          <w:pStyle w:val="Footer"/>
          <w:jc w:val="center"/>
        </w:pPr>
        <w:r>
          <w:fldChar w:fldCharType="begin"/>
        </w:r>
        <w:r>
          <w:instrText xml:space="preserve"> PAGE   \* MERGEFORMAT </w:instrText>
        </w:r>
        <w:r>
          <w:fldChar w:fldCharType="separate"/>
        </w:r>
        <w:r>
          <w:rPr>
            <w:noProof/>
          </w:rPr>
          <w:t>4</w:t>
        </w:r>
        <w:r>
          <w:fldChar w:fldCharType="end"/>
        </w:r>
      </w:p>
    </w:sdtContent>
  </w:sdt>
  <w:p w:rsidR="007727DC" w:rsidRPr="00C834DF" w:rsidRDefault="00993589"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589" w:rsidRDefault="00993589" w:rsidP="00993589">
      <w:pPr>
        <w:spacing w:after="0" w:line="240" w:lineRule="auto"/>
      </w:pPr>
      <w:r>
        <w:separator/>
      </w:r>
    </w:p>
  </w:footnote>
  <w:footnote w:type="continuationSeparator" w:id="0">
    <w:p w:rsidR="00993589" w:rsidRDefault="00993589" w:rsidP="00993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4C" w:rsidRDefault="009935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4C" w:rsidRDefault="009935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4C" w:rsidRDefault="009935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F2DDF"/>
    <w:multiLevelType w:val="hybridMultilevel"/>
    <w:tmpl w:val="05864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nsid w:val="610C670C"/>
    <w:multiLevelType w:val="hybridMultilevel"/>
    <w:tmpl w:val="38B288F4"/>
    <w:lvl w:ilvl="0" w:tplc="68D898CC">
      <w:start w:val="1"/>
      <w:numFmt w:val="decimal"/>
      <w:lvlText w:val="%1."/>
      <w:lvlJc w:val="left"/>
      <w:pPr>
        <w:ind w:left="1380" w:hanging="6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B63974"/>
    <w:multiLevelType w:val="hybridMultilevel"/>
    <w:tmpl w:val="AA8C45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10"/>
  </w:num>
  <w:num w:numId="5">
    <w:abstractNumId w:val="5"/>
  </w:num>
  <w:num w:numId="6">
    <w:abstractNumId w:val="6"/>
  </w:num>
  <w:num w:numId="7">
    <w:abstractNumId w:val="4"/>
  </w:num>
  <w:num w:numId="8">
    <w:abstractNumId w:val="7"/>
  </w:num>
  <w:num w:numId="9">
    <w:abstractNumId w:val="0"/>
  </w:num>
  <w:num w:numId="10">
    <w:abstractNumId w:val="15"/>
  </w:num>
  <w:num w:numId="11">
    <w:abstractNumId w:val="8"/>
  </w:num>
  <w:num w:numId="12">
    <w:abstractNumId w:val="12"/>
  </w:num>
  <w:num w:numId="13">
    <w:abstractNumId w:val="3"/>
  </w:num>
  <w:num w:numId="14">
    <w:abstractNumId w:val="14"/>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footnotePr>
    <w:footnote w:id="-1"/>
    <w:footnote w:id="0"/>
  </w:footnotePr>
  <w:endnotePr>
    <w:endnote w:id="-1"/>
    <w:endnote w:id="0"/>
  </w:endnotePr>
  <w:compat/>
  <w:rsids>
    <w:rsidRoot w:val="00993589"/>
    <w:rsid w:val="00031029"/>
    <w:rsid w:val="00055480"/>
    <w:rsid w:val="001F38F1"/>
    <w:rsid w:val="002A3F64"/>
    <w:rsid w:val="00331D57"/>
    <w:rsid w:val="003F19C0"/>
    <w:rsid w:val="004C1AEE"/>
    <w:rsid w:val="00582AF9"/>
    <w:rsid w:val="005F02C9"/>
    <w:rsid w:val="006A6ED6"/>
    <w:rsid w:val="008C302C"/>
    <w:rsid w:val="00993589"/>
    <w:rsid w:val="00AD23F5"/>
    <w:rsid w:val="00B02F8F"/>
    <w:rsid w:val="00CF115F"/>
    <w:rsid w:val="00CF1FB4"/>
    <w:rsid w:val="00ED4342"/>
    <w:rsid w:val="00ED7658"/>
    <w:rsid w:val="00EF5C4D"/>
    <w:rsid w:val="00F54C04"/>
    <w:rsid w:val="00FF4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89"/>
  </w:style>
  <w:style w:type="paragraph" w:styleId="Heading5">
    <w:name w:val="heading 5"/>
    <w:basedOn w:val="Normal"/>
    <w:next w:val="Normal"/>
    <w:link w:val="Heading5Char"/>
    <w:qFormat/>
    <w:rsid w:val="00993589"/>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93589"/>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993589"/>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99358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993589"/>
  </w:style>
  <w:style w:type="character" w:customStyle="1" w:styleId="FooterChar">
    <w:name w:val="Footer Char"/>
    <w:basedOn w:val="DefaultParagraphFont"/>
    <w:link w:val="Footer"/>
    <w:uiPriority w:val="99"/>
    <w:rsid w:val="0099358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9358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993589"/>
  </w:style>
  <w:style w:type="character" w:customStyle="1" w:styleId="TitleChar">
    <w:name w:val="Title Char"/>
    <w:basedOn w:val="DefaultParagraphFont"/>
    <w:link w:val="Title"/>
    <w:rsid w:val="00993589"/>
    <w:rPr>
      <w:rFonts w:ascii="Tornado" w:eastAsia="Batang" w:hAnsi="Tornado" w:cs="Times New Roman"/>
      <w:b/>
      <w:sz w:val="28"/>
      <w:szCs w:val="20"/>
    </w:rPr>
  </w:style>
  <w:style w:type="paragraph" w:styleId="Title">
    <w:name w:val="Title"/>
    <w:basedOn w:val="Normal"/>
    <w:link w:val="TitleChar"/>
    <w:qFormat/>
    <w:rsid w:val="00993589"/>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993589"/>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993589"/>
    <w:rPr>
      <w:rFonts w:ascii="Tahoma" w:hAnsi="Tahoma" w:cs="Tahoma"/>
      <w:sz w:val="16"/>
      <w:szCs w:val="16"/>
    </w:rPr>
  </w:style>
  <w:style w:type="paragraph" w:styleId="BalloonText">
    <w:name w:val="Balloon Text"/>
    <w:basedOn w:val="Normal"/>
    <w:link w:val="BalloonTextChar"/>
    <w:uiPriority w:val="99"/>
    <w:semiHidden/>
    <w:unhideWhenUsed/>
    <w:rsid w:val="00993589"/>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993589"/>
    <w:rPr>
      <w:rFonts w:ascii="Tahoma" w:hAnsi="Tahoma" w:cs="Tahoma"/>
      <w:sz w:val="16"/>
      <w:szCs w:val="16"/>
    </w:rPr>
  </w:style>
  <w:style w:type="paragraph" w:styleId="ListParagraph">
    <w:name w:val="List Paragraph"/>
    <w:basedOn w:val="Normal"/>
    <w:uiPriority w:val="34"/>
    <w:qFormat/>
    <w:rsid w:val="00993589"/>
    <w:pPr>
      <w:ind w:left="720"/>
      <w:contextualSpacing/>
    </w:pPr>
  </w:style>
  <w:style w:type="paragraph" w:styleId="ListBullet">
    <w:name w:val="List Bullet"/>
    <w:basedOn w:val="Normal"/>
    <w:uiPriority w:val="99"/>
    <w:unhideWhenUsed/>
    <w:rsid w:val="00993589"/>
    <w:pPr>
      <w:numPr>
        <w:numId w:val="1"/>
      </w:numPr>
      <w:contextualSpacing/>
    </w:pPr>
  </w:style>
  <w:style w:type="paragraph" w:styleId="DocumentMap">
    <w:name w:val="Document Map"/>
    <w:basedOn w:val="Normal"/>
    <w:link w:val="DocumentMapChar"/>
    <w:uiPriority w:val="99"/>
    <w:semiHidden/>
    <w:unhideWhenUsed/>
    <w:rsid w:val="0099358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3589"/>
    <w:rPr>
      <w:rFonts w:ascii="Tahoma" w:hAnsi="Tahoma" w:cs="Tahoma"/>
      <w:sz w:val="16"/>
      <w:szCs w:val="16"/>
    </w:rPr>
  </w:style>
  <w:style w:type="character" w:styleId="Hyperlink">
    <w:name w:val="Hyperlink"/>
    <w:basedOn w:val="DefaultParagraphFont"/>
    <w:uiPriority w:val="99"/>
    <w:unhideWhenUsed/>
    <w:rsid w:val="00993589"/>
    <w:rPr>
      <w:color w:val="0000FF" w:themeColor="hyperlink"/>
      <w:u w:val="single"/>
    </w:rPr>
  </w:style>
  <w:style w:type="character" w:styleId="Emphasis">
    <w:name w:val="Emphasis"/>
    <w:basedOn w:val="DefaultParagraphFont"/>
    <w:uiPriority w:val="20"/>
    <w:qFormat/>
    <w:rsid w:val="00993589"/>
    <w:rPr>
      <w:b/>
      <w:bCs/>
      <w:i w:val="0"/>
      <w:iCs w:val="0"/>
    </w:rPr>
  </w:style>
  <w:style w:type="character" w:customStyle="1" w:styleId="st">
    <w:name w:val="st"/>
    <w:basedOn w:val="DefaultParagraphFont"/>
    <w:rsid w:val="00993589"/>
  </w:style>
  <w:style w:type="character" w:customStyle="1" w:styleId="st1">
    <w:name w:val="st1"/>
    <w:basedOn w:val="DefaultParagraphFont"/>
    <w:rsid w:val="009935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5578</Words>
  <Characters>31798</Characters>
  <Application>Microsoft Office Word</Application>
  <DocSecurity>0</DocSecurity>
  <Lines>264</Lines>
  <Paragraphs>74</Paragraphs>
  <ScaleCrop>false</ScaleCrop>
  <Company/>
  <LinksUpToDate>false</LinksUpToDate>
  <CharactersWithSpaces>37302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1</cp:revision>
  <dcterms:created xsi:type="dcterms:W3CDTF">2014-11-26T17:06:00Z</dcterms:created>
  <dcterms:modified xsi:type="dcterms:W3CDTF">2014-11-26T17:09:00Z</dcterms:modified>
</cp:coreProperties>
</file>