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2821" w14:textId="77777777" w:rsidR="00407532" w:rsidRPr="00E37424" w:rsidRDefault="00407532" w:rsidP="00407532">
      <w:pPr>
        <w:spacing w:after="0" w:line="240" w:lineRule="auto"/>
        <w:contextualSpacing/>
      </w:pPr>
    </w:p>
    <w:tbl>
      <w:tblPr>
        <w:tblW w:w="8613" w:type="dxa"/>
        <w:tblLook w:val="01E0" w:firstRow="1" w:lastRow="1" w:firstColumn="1" w:lastColumn="1" w:noHBand="0" w:noVBand="0"/>
      </w:tblPr>
      <w:tblGrid>
        <w:gridCol w:w="1526"/>
        <w:gridCol w:w="7087"/>
      </w:tblGrid>
      <w:tr w:rsidR="00407532" w:rsidRPr="00E37424" w14:paraId="5C0E4D08" w14:textId="77777777" w:rsidTr="003F6A96">
        <w:tc>
          <w:tcPr>
            <w:tcW w:w="8613" w:type="dxa"/>
            <w:gridSpan w:val="2"/>
          </w:tcPr>
          <w:p w14:paraId="6EAC1E2B" w14:textId="78B4F813" w:rsidR="00407532" w:rsidRPr="00E37424" w:rsidRDefault="00407532" w:rsidP="003F6A96">
            <w:pPr>
              <w:keepNext/>
              <w:spacing w:after="0" w:line="240" w:lineRule="auto"/>
              <w:contextualSpacing/>
              <w:jc w:val="both"/>
              <w:outlineLvl w:val="1"/>
              <w:rPr>
                <w:rFonts w:ascii="Garamond" w:eastAsia="Times New Roman" w:hAnsi="Garamond" w:cs="Times New Roman"/>
                <w:b/>
                <w:bCs/>
                <w:i/>
                <w:iCs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br w:type="page"/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br w:type="page"/>
            </w:r>
            <w:bookmarkStart w:id="0" w:name="_Toc351793323"/>
            <w:bookmarkStart w:id="1" w:name="_Toc378071686"/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</w:t>
            </w:r>
            <w:r w:rsidR="00294A23">
              <w:rPr>
                <w:rFonts w:ascii="Garamond" w:eastAsia="Times New Roman" w:hAnsi="Garamond" w:cs="Times New Roman"/>
                <w:b/>
                <w:bCs/>
                <w:iCs/>
                <w:lang w:val="mt-MT" w:eastAsia="en-GB"/>
              </w:rPr>
              <w:t>21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Stadju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Kumitat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–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Proċedura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noBreakHyphen/>
              <w:t>introduzzjoni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klawżoli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ġodda</w:t>
            </w:r>
            <w:bookmarkEnd w:id="0"/>
            <w:bookmarkEnd w:id="1"/>
            <w:proofErr w:type="spellEnd"/>
          </w:p>
        </w:tc>
      </w:tr>
      <w:tr w:rsidR="00407532" w:rsidRPr="00E37424" w14:paraId="3154176A" w14:textId="77777777" w:rsidTr="003F6A96">
        <w:tc>
          <w:tcPr>
            <w:tcW w:w="1526" w:type="dxa"/>
          </w:tcPr>
          <w:p w14:paraId="2BAE1E06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  <w:tc>
          <w:tcPr>
            <w:tcW w:w="7087" w:type="dxa"/>
          </w:tcPr>
          <w:p w14:paraId="51C29828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407532" w:rsidRPr="00E37424" w14:paraId="30A76C30" w14:textId="77777777" w:rsidTr="003F6A96">
        <w:tc>
          <w:tcPr>
            <w:tcW w:w="8613" w:type="dxa"/>
            <w:gridSpan w:val="2"/>
          </w:tcPr>
          <w:p w14:paraId="02131208" w14:textId="7F0CEAA3" w:rsidR="00407532" w:rsidRPr="00E37424" w:rsidRDefault="00407532" w:rsidP="003F6A96">
            <w:pPr>
              <w:tabs>
                <w:tab w:val="left" w:pos="5160"/>
              </w:tabs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 xml:space="preserve">President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Kumitati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,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. Manuel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Borda</w:t>
            </w:r>
            <w:proofErr w:type="spellEnd"/>
          </w:p>
        </w:tc>
      </w:tr>
      <w:tr w:rsidR="00407532" w:rsidRPr="00E37424" w14:paraId="1CC5EA75" w14:textId="77777777" w:rsidTr="003F6A96">
        <w:tc>
          <w:tcPr>
            <w:tcW w:w="1526" w:type="dxa"/>
          </w:tcPr>
          <w:p w14:paraId="21EE3885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087" w:type="dxa"/>
          </w:tcPr>
          <w:p w14:paraId="4AFB10F2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407532" w:rsidRPr="00E37424" w14:paraId="78BEDF85" w14:textId="77777777" w:rsidTr="003F6A96">
        <w:tc>
          <w:tcPr>
            <w:tcW w:w="1526" w:type="dxa"/>
          </w:tcPr>
          <w:p w14:paraId="6FC05C79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Talba</w:t>
            </w:r>
            <w:proofErr w:type="spellEnd"/>
          </w:p>
        </w:tc>
        <w:tc>
          <w:tcPr>
            <w:tcW w:w="7087" w:type="dxa"/>
          </w:tcPr>
          <w:p w14:paraId="41A88338" w14:textId="66BD828C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Magħmula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530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22 ta’ April 1996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Prim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Ministru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Eddie Fenech Adami,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proċedura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introduzzjoni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klawżoli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ġodda</w:t>
            </w:r>
            <w:proofErr w:type="spellEnd"/>
            <w:r w:rsidR="009A79F6">
              <w:rPr>
                <w:rFonts w:ascii="Garamond" w:eastAsia="Times New Roman" w:hAnsi="Garamond" w:cs="Times New Roman"/>
                <w:lang w:val="mt-MT"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istadju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Kumitat</w:t>
            </w:r>
            <w:proofErr w:type="spellEnd"/>
          </w:p>
        </w:tc>
      </w:tr>
      <w:tr w:rsidR="00407532" w:rsidRPr="00E37424" w14:paraId="7954597F" w14:textId="77777777" w:rsidTr="003F6A96">
        <w:tc>
          <w:tcPr>
            <w:tcW w:w="1526" w:type="dxa"/>
          </w:tcPr>
          <w:p w14:paraId="4D91EBE6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087" w:type="dxa"/>
          </w:tcPr>
          <w:p w14:paraId="7213B6AF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407532" w:rsidRPr="00E37424" w14:paraId="62E75E19" w14:textId="77777777" w:rsidTr="003F6A96">
        <w:tc>
          <w:tcPr>
            <w:tcW w:w="1526" w:type="dxa"/>
          </w:tcPr>
          <w:p w14:paraId="33FA5C24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Bażi</w:t>
            </w:r>
            <w:proofErr w:type="spellEnd"/>
          </w:p>
        </w:tc>
        <w:tc>
          <w:tcPr>
            <w:tcW w:w="7087" w:type="dxa"/>
          </w:tcPr>
          <w:p w14:paraId="26ADA66C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44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begin"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XE "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Ordnijiet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Permanenti:Ordni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Permanenti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44</w:instrText>
            </w:r>
            <w:r w:rsidRPr="00E37424">
              <w:rPr>
                <w:rFonts w:ascii="Garamond" w:hAnsi="Garamond"/>
              </w:rPr>
              <w:instrText>"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end"/>
            </w:r>
          </w:p>
          <w:p w14:paraId="6ED652CD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10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begin"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XE "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Ordnijiet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Permanenti:Ordni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Permanenti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10</w:instrText>
            </w:r>
            <w:r w:rsidRPr="00E37424">
              <w:rPr>
                <w:rFonts w:ascii="Garamond" w:hAnsi="Garamond"/>
              </w:rPr>
              <w:instrText>"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end"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>1</w:t>
            </w:r>
          </w:p>
          <w:p w14:paraId="2F336CF2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21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Edizzjoni</w:t>
            </w:r>
            <w:proofErr w:type="spellEnd"/>
          </w:p>
        </w:tc>
      </w:tr>
      <w:tr w:rsidR="00407532" w:rsidRPr="00E37424" w14:paraId="482DF021" w14:textId="77777777" w:rsidTr="003F6A96">
        <w:tc>
          <w:tcPr>
            <w:tcW w:w="1526" w:type="dxa"/>
          </w:tcPr>
          <w:p w14:paraId="6111CB48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087" w:type="dxa"/>
          </w:tcPr>
          <w:p w14:paraId="02B08012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407532" w:rsidRPr="00E37424" w14:paraId="20C29D5A" w14:textId="77777777" w:rsidTr="003F6A96">
        <w:tc>
          <w:tcPr>
            <w:tcW w:w="1526" w:type="dxa"/>
          </w:tcPr>
          <w:p w14:paraId="256207AC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</w:p>
        </w:tc>
        <w:tc>
          <w:tcPr>
            <w:tcW w:w="7087" w:type="dxa"/>
          </w:tcPr>
          <w:p w14:paraId="3CCD0842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530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22 ta’ April 1996</w:t>
            </w:r>
          </w:p>
        </w:tc>
      </w:tr>
      <w:tr w:rsidR="00407532" w:rsidRPr="00E37424" w14:paraId="0E1959C6" w14:textId="77777777" w:rsidTr="003F6A96">
        <w:tc>
          <w:tcPr>
            <w:tcW w:w="1526" w:type="dxa"/>
          </w:tcPr>
          <w:p w14:paraId="651B4336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087" w:type="dxa"/>
          </w:tcPr>
          <w:p w14:paraId="61EE4D53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i/>
                <w:lang w:eastAsia="en-GB"/>
              </w:rPr>
            </w:pPr>
          </w:p>
        </w:tc>
      </w:tr>
      <w:tr w:rsidR="00407532" w:rsidRPr="00E37424" w14:paraId="6A5816E8" w14:textId="77777777" w:rsidTr="003F6A96">
        <w:tc>
          <w:tcPr>
            <w:tcW w:w="1526" w:type="dxa"/>
          </w:tcPr>
          <w:p w14:paraId="7D95B4A0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Konklużjoni</w:t>
            </w:r>
            <w:proofErr w:type="spellEnd"/>
          </w:p>
        </w:tc>
        <w:tc>
          <w:tcPr>
            <w:tcW w:w="7087" w:type="dxa"/>
          </w:tcPr>
          <w:p w14:paraId="733F6B10" w14:textId="3CED4EBB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 xml:space="preserve">President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Kumitati</w:t>
            </w:r>
            <w:proofErr w:type="spellEnd"/>
            <w:r w:rsidR="009A79F6">
              <w:rPr>
                <w:rFonts w:ascii="Garamond" w:eastAsia="Times New Roman" w:hAnsi="Garamond" w:cs="Times New Roman"/>
                <w:b/>
                <w:lang w:val="mt-MT"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rrimarka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li:</w:t>
            </w:r>
          </w:p>
          <w:p w14:paraId="62FB3846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  <w:p w14:paraId="5AAAD22F" w14:textId="76F226B6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1.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Klawżoli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ġodda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jistgħu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jiġu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proposti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kull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membru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sakemm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dawn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ikunu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rilevanti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iskop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Abbozz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Liġi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  <w:p w14:paraId="664E3F78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ab/>
            </w:r>
          </w:p>
          <w:p w14:paraId="62E5DC19" w14:textId="1FB7F8BE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2.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Bħala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regola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, dawn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klawżoli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ġodda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jiġu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ttrattati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aħħar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konsiderazzjoni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abbozz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proċedura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hi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stabbilita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101 u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ċjoè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(a)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tinqara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n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 xml:space="preserve">nota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marġinali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u dan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ikun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ekwivalenti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Qari; (b)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issir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mistoqsija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mingħajr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diskussjoni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klawżola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ġdida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kkunsidrata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bħala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għaddiet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mit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Tieni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Qari u (c)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din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tifforma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parti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abbozz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liġi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tibda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konsiderazzjoni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klawżola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fil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Kumitat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  <w:p w14:paraId="27398E70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ab/>
            </w:r>
          </w:p>
          <w:p w14:paraId="661A32FB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3. Is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poter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ikun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hekk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jidhrilha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tagħti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permess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membru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jressaq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klawżola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ġdida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fi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stadju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mhux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bilfors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ikun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aħħar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proċess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ikun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hemm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raġuni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valida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dan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ikun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jista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jsir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unika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raġuni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valida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tista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mressqa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hi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emendi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klawżoli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oħra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għadhom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ġewx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ikkunsidrati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jistgħu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jkunu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jiddependu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fuq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klawżola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ġdida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  <w:p w14:paraId="1622AE4A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ab/>
            </w:r>
          </w:p>
          <w:p w14:paraId="4B84FDF6" w14:textId="6FCE47B8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4.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ikollha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bżonn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teżamina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klawżoli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ġodda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ser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ikunu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proposti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sabiex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tiddeċiedi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f’liema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stadju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għandhom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jiġu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preżentati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lill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Kumitat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  <w:p w14:paraId="480F9F3B" w14:textId="77777777" w:rsidR="00407532" w:rsidRPr="00E37424" w:rsidRDefault="00407532" w:rsidP="003F6A96">
            <w:pPr>
              <w:tabs>
                <w:tab w:val="left" w:pos="720"/>
                <w:tab w:val="left" w:pos="1101"/>
              </w:tabs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ab/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ab/>
            </w:r>
          </w:p>
          <w:p w14:paraId="1A5C849C" w14:textId="77777777" w:rsidR="00407532" w:rsidRPr="00E37424" w:rsidRDefault="00407532" w:rsidP="003F6A96">
            <w:pPr>
              <w:tabs>
                <w:tab w:val="left" w:pos="7344"/>
              </w:tabs>
              <w:autoSpaceDE w:val="0"/>
              <w:autoSpaceDN w:val="0"/>
              <w:adjustRightInd w:val="0"/>
              <w:spacing w:after="0" w:line="240" w:lineRule="auto"/>
              <w:ind w:right="-39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5.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proposta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. Karmenu Mifsud Bonnici, din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hija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fis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sustanza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introduzzjoni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klawżola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ġdida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mhijiex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b/>
                <w:i/>
                <w:lang w:eastAsia="en-GB"/>
              </w:rPr>
              <w:t>in order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</w:tc>
      </w:tr>
      <w:tr w:rsidR="00407532" w:rsidRPr="00E37424" w14:paraId="394ECC4A" w14:textId="77777777" w:rsidTr="003F6A96">
        <w:tc>
          <w:tcPr>
            <w:tcW w:w="1526" w:type="dxa"/>
          </w:tcPr>
          <w:p w14:paraId="5073B200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087" w:type="dxa"/>
          </w:tcPr>
          <w:p w14:paraId="01807D2D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407532" w:rsidRPr="00E37424" w14:paraId="6B1D3F9B" w14:textId="77777777" w:rsidTr="003F6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EFFFB6B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5D5CF037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THE CHAIRMAN: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Membru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proċedura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rridu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nimxu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hawn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imniżżla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quddiemi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kopja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21st 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 xml:space="preserve">edition li </w:t>
            </w:r>
            <w:proofErr w:type="spellStart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tgħid</w:t>
            </w:r>
            <w:proofErr w:type="spellEnd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: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</w:p>
          <w:p w14:paraId="51785E99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11D1EDA6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ind w:left="317" w:right="317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‘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New clauses are considered after the clauses of the Bill have been disposed of, unless the Committee has ordered otherwise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>.’</w:t>
            </w:r>
          </w:p>
          <w:p w14:paraId="3D96B985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ind w:right="387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...</w:t>
            </w:r>
          </w:p>
          <w:p w14:paraId="5A57F057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7AAC2F51" w14:textId="57A24E9C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1.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Klawżoli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ġodda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jistgħu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jiġu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proposti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kull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membru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sakemm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dawn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ikunu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rilevanti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iskop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Abbozz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Liġi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3AA01DFA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ab/>
            </w:r>
          </w:p>
          <w:p w14:paraId="2BAADADC" w14:textId="1518ECB0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2.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Bħala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regola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dawn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klawżoli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ġodda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jiġu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ttrattati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aħħar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konsiderazzjoni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abbozz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proċedura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hi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stabbilita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101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ċjoè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(a)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tinqara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n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nota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marġinali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dan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ekwivalenti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Qari; (b)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issir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mistoqsija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lastRenderedPageBreak/>
              <w:t>mingħajr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diskussjoni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klawżola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ġdida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kkunsidrata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bħala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għaddiet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Tieni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Qari u (c)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din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tifforma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parti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abbozz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liġi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tibda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konsiderazzjoni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klawżola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fil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Kumitat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549AF7FF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ab/>
            </w:r>
          </w:p>
          <w:p w14:paraId="5828D5D1" w14:textId="51079A81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3.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Ordni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44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jagħti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poter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‘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tagħżel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jew il</w:t>
            </w:r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klawżoli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ġodda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jiġu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proposti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, u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jista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jsejjaħ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kull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Membru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jkun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ta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avviż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jagħti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dik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ispjegazzjoni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noBreakHyphen/>
              <w:t>suġġett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noBreakHyphen/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biha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jista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jifforma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ġudizzju</w:t>
            </w:r>
            <w:proofErr w:type="spellEnd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u w:val="single"/>
                <w:lang w:eastAsia="en-GB"/>
              </w:rPr>
              <w:t>dwarha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’.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poter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jidhrilha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tagħti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permess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membru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klawżola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ġdida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fi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stadju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mhux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bilfors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aħħar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proċess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Iżda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irid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hemm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raġuni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valida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jsir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unika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raġuni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valida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mressqa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hi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klawżoli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oħra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għadhom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ġewx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ikkunsidrati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jistgħu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jkunu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jiddependu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fuq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klawżola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ġdida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319F8725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ab/>
            </w:r>
          </w:p>
          <w:p w14:paraId="50107693" w14:textId="2BBF3263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4.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ikollha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bżonn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teżamina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klawżoli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ġodda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ser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ikunu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proposti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sabiex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tiddeċiedi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f’liema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stadju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għandhom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jiġu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preżentati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Kumitat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22A1C0F8" w14:textId="77777777" w:rsidR="00407532" w:rsidRPr="00E37424" w:rsidRDefault="00407532" w:rsidP="003F6A96">
            <w:pPr>
              <w:tabs>
                <w:tab w:val="left" w:pos="720"/>
                <w:tab w:val="left" w:pos="1101"/>
              </w:tabs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ab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ab/>
            </w:r>
          </w:p>
          <w:p w14:paraId="32749C39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5.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proposta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Karmenu Mifsud Bonnici, din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sustanza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introduzzjoni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klawżola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ġdida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mhijiex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in order.</w:t>
            </w:r>
          </w:p>
          <w:p w14:paraId="3E99FE0A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...</w:t>
            </w:r>
          </w:p>
          <w:p w14:paraId="34B39C7A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  <w:p w14:paraId="6986BBCD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KARMENU MIFSUD BONNICI: 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Mr Chairman,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nifhem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kull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proposta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sens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diġà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tressqet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proposta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murija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lilek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ħalli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mbagħad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int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tiddeċiedi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f’liema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stadju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mressqa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emenda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70DF8C40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4B1458DA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THE CHAIRMAN: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rilevanti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ma’ dak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nkunu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niddiskutu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dak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ħin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ngħid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tidħol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però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rilevanti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allura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diskussa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aħħar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  <w:p w14:paraId="66A188B9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5E06FFC4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ONOR. KARMENU MIFSUD BONNICI: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rilevanti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titressaq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awtomatikament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! </w:t>
            </w:r>
          </w:p>
          <w:p w14:paraId="4D8EE4E2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7DEF9467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THE CHAIRMAN: 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>Iva 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taċċettaha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basta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rilevanti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klawżola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under consideration.</w:t>
            </w:r>
          </w:p>
        </w:tc>
      </w:tr>
    </w:tbl>
    <w:p w14:paraId="5C1E17D1" w14:textId="77777777" w:rsidR="00407532" w:rsidRPr="00E37424" w:rsidRDefault="00407532" w:rsidP="00407532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en-GB"/>
        </w:rPr>
      </w:pPr>
    </w:p>
    <w:p w14:paraId="0984862B" w14:textId="77777777" w:rsidR="005B26FD" w:rsidRDefault="009A79F6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2"/>
    <w:rsid w:val="00294A23"/>
    <w:rsid w:val="00373DD7"/>
    <w:rsid w:val="00407532"/>
    <w:rsid w:val="004A4D94"/>
    <w:rsid w:val="006815AC"/>
    <w:rsid w:val="009A79F6"/>
    <w:rsid w:val="00A93F5D"/>
    <w:rsid w:val="00F9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8E1D"/>
  <w15:chartTrackingRefBased/>
  <w15:docId w15:val="{F6C8F722-0B47-4807-8004-A62E76E0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4</cp:revision>
  <dcterms:created xsi:type="dcterms:W3CDTF">2023-08-25T10:40:00Z</dcterms:created>
  <dcterms:modified xsi:type="dcterms:W3CDTF">2023-08-25T10:53:00Z</dcterms:modified>
</cp:coreProperties>
</file>