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9" w:type="dxa"/>
        <w:tblLook w:val="01E0" w:firstRow="1" w:lastRow="1" w:firstColumn="1" w:lastColumn="1" w:noHBand="0" w:noVBand="0"/>
      </w:tblPr>
      <w:tblGrid>
        <w:gridCol w:w="1526"/>
        <w:gridCol w:w="7513"/>
      </w:tblGrid>
      <w:tr w:rsidR="00407532" w:rsidRPr="00E37424" w14:paraId="25D2D10A" w14:textId="77777777" w:rsidTr="003F6A96">
        <w:tc>
          <w:tcPr>
            <w:tcW w:w="9039" w:type="dxa"/>
            <w:gridSpan w:val="2"/>
          </w:tcPr>
          <w:p w14:paraId="1DA0330A" w14:textId="1BFB6066" w:rsidR="00407532" w:rsidRPr="00E37424" w:rsidRDefault="00407532" w:rsidP="003F6A96">
            <w:pPr>
              <w:keepNext/>
              <w:spacing w:after="0" w:line="240" w:lineRule="auto"/>
              <w:contextualSpacing/>
              <w:outlineLvl w:val="1"/>
              <w:rPr>
                <w:rFonts w:ascii="Garamond" w:eastAsia="Times New Roman" w:hAnsi="Garamond" w:cs="Times New Roman"/>
                <w:b/>
                <w:bCs/>
                <w:i/>
                <w:iCs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br w:type="page"/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br w:type="page"/>
            </w:r>
            <w:bookmarkStart w:id="0" w:name="_Toc351793322"/>
            <w:bookmarkStart w:id="1" w:name="_Toc378071685"/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</w:t>
            </w:r>
            <w:r w:rsidR="000B6E47">
              <w:rPr>
                <w:rFonts w:ascii="Garamond" w:eastAsia="Times New Roman" w:hAnsi="Garamond" w:cs="Times New Roman"/>
                <w:b/>
                <w:bCs/>
                <w:iCs/>
                <w:lang w:val="mt-MT" w:eastAsia="en-GB"/>
              </w:rPr>
              <w:t>20</w: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noBreakHyphen/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Mistoqsijiet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bCs/>
                <w:iCs/>
                <w:lang w:eastAsia="en-GB"/>
              </w:rPr>
              <w:t>Parlamentari</w:t>
            </w:r>
            <w:bookmarkEnd w:id="0"/>
            <w:bookmarkEnd w:id="1"/>
            <w:proofErr w:type="spellEnd"/>
          </w:p>
        </w:tc>
      </w:tr>
      <w:tr w:rsidR="00407532" w:rsidRPr="00E37424" w14:paraId="5AFC9C31" w14:textId="77777777" w:rsidTr="003F6A96">
        <w:tc>
          <w:tcPr>
            <w:tcW w:w="1526" w:type="dxa"/>
          </w:tcPr>
          <w:p w14:paraId="23AA2E46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  <w:tc>
          <w:tcPr>
            <w:tcW w:w="7513" w:type="dxa"/>
          </w:tcPr>
          <w:p w14:paraId="52BDEB66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407532" w:rsidRPr="00E37424" w14:paraId="4762CA4C" w14:textId="77777777" w:rsidTr="003F6A96">
        <w:tc>
          <w:tcPr>
            <w:tcW w:w="9039" w:type="dxa"/>
            <w:gridSpan w:val="2"/>
          </w:tcPr>
          <w:p w14:paraId="2800F279" w14:textId="77777777" w:rsidR="00407532" w:rsidRPr="00E37424" w:rsidRDefault="00407532" w:rsidP="003F6A96">
            <w:pPr>
              <w:tabs>
                <w:tab w:val="left" w:pos="5160"/>
              </w:tabs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Deċiżjoni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tas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Lawrence Gonzi</w:t>
            </w:r>
          </w:p>
        </w:tc>
      </w:tr>
      <w:tr w:rsidR="00407532" w:rsidRPr="00E37424" w14:paraId="3B601E2B" w14:textId="77777777" w:rsidTr="003F6A96">
        <w:tc>
          <w:tcPr>
            <w:tcW w:w="1526" w:type="dxa"/>
          </w:tcPr>
          <w:p w14:paraId="33F7A43F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13" w:type="dxa"/>
          </w:tcPr>
          <w:p w14:paraId="3E64C82C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407532" w:rsidRPr="00E37424" w14:paraId="7F6DC08E" w14:textId="77777777" w:rsidTr="003F6A96">
        <w:tc>
          <w:tcPr>
            <w:tcW w:w="1526" w:type="dxa"/>
          </w:tcPr>
          <w:p w14:paraId="71723DD2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Talba</w:t>
            </w:r>
            <w:proofErr w:type="spellEnd"/>
          </w:p>
        </w:tc>
        <w:tc>
          <w:tcPr>
            <w:tcW w:w="7513" w:type="dxa"/>
          </w:tcPr>
          <w:p w14:paraId="46BA9833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Magħmula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499 tas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16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Jannar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1996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George Vella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b’oġġezzjoni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tweġiba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Mistosija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Parlamentari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tgħid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‘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Peress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Membru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wera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biċ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ċar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m’għandu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ebda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interess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ġenwin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ikun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infurmat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fatti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...’</w:t>
            </w:r>
          </w:p>
        </w:tc>
      </w:tr>
      <w:tr w:rsidR="00407532" w:rsidRPr="00E37424" w14:paraId="01D596C2" w14:textId="77777777" w:rsidTr="003F6A96">
        <w:tc>
          <w:tcPr>
            <w:tcW w:w="1526" w:type="dxa"/>
          </w:tcPr>
          <w:p w14:paraId="3080F43C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13" w:type="dxa"/>
          </w:tcPr>
          <w:p w14:paraId="5E2663F5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407532" w:rsidRPr="00E37424" w14:paraId="5ACCE0A3" w14:textId="77777777" w:rsidTr="003F6A96">
        <w:tc>
          <w:tcPr>
            <w:tcW w:w="1526" w:type="dxa"/>
          </w:tcPr>
          <w:p w14:paraId="7A054167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Bażi</w:t>
            </w:r>
            <w:proofErr w:type="spellEnd"/>
          </w:p>
        </w:tc>
        <w:tc>
          <w:tcPr>
            <w:tcW w:w="7513" w:type="dxa"/>
          </w:tcPr>
          <w:p w14:paraId="36AAFDB6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Mistoqsija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Parlamentari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30491</w:t>
            </w:r>
          </w:p>
          <w:p w14:paraId="58D4123F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 xml:space="preserve">Erskine </w:t>
            </w:r>
            <w:proofErr w:type="gramStart"/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May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>,</w:t>
            </w:r>
            <w:proofErr w:type="gram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21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Edizzjoni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pġ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 294, 295</w:t>
            </w:r>
          </w:p>
        </w:tc>
      </w:tr>
      <w:tr w:rsidR="00407532" w:rsidRPr="00E37424" w14:paraId="3C128379" w14:textId="77777777" w:rsidTr="003F6A96">
        <w:tc>
          <w:tcPr>
            <w:tcW w:w="1526" w:type="dxa"/>
          </w:tcPr>
          <w:p w14:paraId="00D2C0AF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13" w:type="dxa"/>
          </w:tcPr>
          <w:p w14:paraId="3036A988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407532" w:rsidRPr="00E37424" w14:paraId="44675540" w14:textId="77777777" w:rsidTr="003F6A96">
        <w:tc>
          <w:tcPr>
            <w:tcW w:w="1526" w:type="dxa"/>
          </w:tcPr>
          <w:p w14:paraId="2D4A9FB9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</w:p>
        </w:tc>
        <w:tc>
          <w:tcPr>
            <w:tcW w:w="7513" w:type="dxa"/>
          </w:tcPr>
          <w:p w14:paraId="22DE4770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500 tas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17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Jannar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1996 </w:t>
            </w:r>
          </w:p>
        </w:tc>
      </w:tr>
      <w:tr w:rsidR="00407532" w:rsidRPr="00E37424" w14:paraId="6773558A" w14:textId="77777777" w:rsidTr="003F6A96">
        <w:tc>
          <w:tcPr>
            <w:tcW w:w="1526" w:type="dxa"/>
          </w:tcPr>
          <w:p w14:paraId="4B3E4F9E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13" w:type="dxa"/>
          </w:tcPr>
          <w:p w14:paraId="3081324C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i/>
                <w:lang w:eastAsia="en-GB"/>
              </w:rPr>
            </w:pPr>
          </w:p>
        </w:tc>
      </w:tr>
      <w:tr w:rsidR="00407532" w:rsidRPr="00E37424" w14:paraId="17CA3863" w14:textId="77777777" w:rsidTr="003F6A96">
        <w:tc>
          <w:tcPr>
            <w:tcW w:w="1526" w:type="dxa"/>
          </w:tcPr>
          <w:p w14:paraId="4EA5775C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Konklużjoni</w:t>
            </w:r>
            <w:proofErr w:type="spellEnd"/>
          </w:p>
        </w:tc>
        <w:tc>
          <w:tcPr>
            <w:tcW w:w="7513" w:type="dxa"/>
          </w:tcPr>
          <w:p w14:paraId="3CE0D14C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Minkejja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fatt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illi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opinjoni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tas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, it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tweġiba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kif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mogħtija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fiha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premessa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mhijiex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relevanti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  <w:t>mistoqsija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,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Ispeaker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setax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jilqa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’ 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b/>
                <w:i/>
                <w:lang w:eastAsia="en-GB"/>
              </w:rPr>
              <w:t>point of order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magħmul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. Vella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peress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</w:t>
            </w:r>
            <w:r w:rsidRPr="00E37424">
              <w:rPr>
                <w:rFonts w:ascii="Garamond" w:eastAsia="Times New Roman" w:hAnsi="Garamond" w:cs="Times New Roman"/>
                <w:b/>
                <w:i/>
                <w:lang w:eastAsia="en-GB"/>
              </w:rPr>
              <w:t>point of order</w:t>
            </w:r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jistax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jitqajjem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proofErr w:type="gram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fuq</w:t>
            </w:r>
            <w:proofErr w:type="spellEnd"/>
            <w:proofErr w:type="gram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mistoqsija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li ma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tkunx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ġiet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imsejħa</w:t>
            </w:r>
            <w:proofErr w:type="spellEnd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.</w:t>
            </w:r>
          </w:p>
        </w:tc>
      </w:tr>
      <w:tr w:rsidR="00407532" w:rsidRPr="00E37424" w14:paraId="04852D91" w14:textId="77777777" w:rsidTr="003F6A96">
        <w:tc>
          <w:tcPr>
            <w:tcW w:w="1526" w:type="dxa"/>
          </w:tcPr>
          <w:p w14:paraId="43E1F765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</w:p>
        </w:tc>
        <w:tc>
          <w:tcPr>
            <w:tcW w:w="7513" w:type="dxa"/>
          </w:tcPr>
          <w:p w14:paraId="4EDCB7D4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</w:tc>
      </w:tr>
      <w:tr w:rsidR="00407532" w:rsidRPr="00E37424" w14:paraId="6712DDD3" w14:textId="77777777" w:rsidTr="003F6A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431B639" w14:textId="77777777" w:rsidR="00407532" w:rsidRPr="00E37424" w:rsidRDefault="00407532" w:rsidP="003F6A96">
            <w:pPr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b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b/>
                <w:lang w:eastAsia="en-GB"/>
              </w:rPr>
              <w:t>Deċiżjoni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02285212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Qabel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ngħaddu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mistoqsijiet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nixtieq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nirriferi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point of order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imressaq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Onor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George Vella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499 tat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Tlieta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16 ta’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Jannar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1996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rigward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tweġiba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mistoqsija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parlamentari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numru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30491.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Jeżistu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diversi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 xml:space="preserve">rulings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rigward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kontenut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tweġibiet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ministerjali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mistoqsijiet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parlamentari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fldChar w:fldCharType="begin"/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instrText xml:space="preserve"> XE "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Mistoqsijiet</w:instrText>
            </w:r>
            <w:proofErr w:type="spellEnd"/>
            <w:r w:rsidRPr="00E37424">
              <w:rPr>
                <w:rFonts w:ascii="Garamond" w:eastAsia="Calibri" w:hAnsi="Garamond" w:cs="Times New Roman"/>
              </w:rPr>
              <w:instrText xml:space="preserve"> </w:instrText>
            </w:r>
            <w:proofErr w:type="spellStart"/>
            <w:r w:rsidRPr="00E37424">
              <w:rPr>
                <w:rFonts w:ascii="Garamond" w:eastAsia="Calibri" w:hAnsi="Garamond" w:cs="Times New Roman"/>
              </w:rPr>
              <w:instrText>Parlamentari</w:instrText>
            </w:r>
            <w:proofErr w:type="spellEnd"/>
            <w:r w:rsidRPr="00E37424">
              <w:rPr>
                <w:rFonts w:ascii="Garamond" w:hAnsi="Garamond"/>
              </w:rPr>
              <w:instrText>"</w:instrTex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instrText xml:space="preserve"> </w:instrTex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fldChar w:fldCharType="end"/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Permezz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dawn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rulings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ġew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stabbiliti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ċerti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regoli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kriterji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huma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bbażati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proofErr w:type="gramStart"/>
            <w:r w:rsidRPr="00E37424">
              <w:rPr>
                <w:rFonts w:ascii="Garamond" w:eastAsia="Times New Roman" w:hAnsi="Garamond" w:cs="Times New Roman"/>
                <w:lang w:eastAsia="en-GB"/>
              </w:rPr>
              <w:t>fuq</w:t>
            </w:r>
            <w:proofErr w:type="spellEnd"/>
            <w:proofErr w:type="gram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prinċipji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esposti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Erskine May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</w:p>
          <w:p w14:paraId="5FE13A34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5E82C98A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Fost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dawn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prinċipji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nsibu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żewġ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kriterji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huma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applikabbli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dan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ewwel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wieħed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huwa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dak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ikkwotat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f’paġna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294 (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Edizzjoni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21)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ċjoè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illi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: </w:t>
            </w:r>
          </w:p>
          <w:p w14:paraId="5A7A8C25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i/>
                <w:lang w:eastAsia="en-GB"/>
              </w:rPr>
            </w:pPr>
          </w:p>
          <w:p w14:paraId="2A5F5F8E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i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‘</w:t>
            </w:r>
            <w:proofErr w:type="gramStart"/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an</w:t>
            </w:r>
            <w:proofErr w:type="gramEnd"/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 xml:space="preserve"> attempt to raise a point of order on a question which has not been called has been ruled out of order’.</w:t>
            </w:r>
          </w:p>
          <w:p w14:paraId="27E18495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 </w:t>
            </w:r>
          </w:p>
          <w:p w14:paraId="11A8123C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Dan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japplika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każ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quddiemha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mistoqsija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30491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laħqitx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imsejħa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seduta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</w:p>
          <w:p w14:paraId="77D053EC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0E30738F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It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tieni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kriterju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huwa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dak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ikkwotat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f’paġna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295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ċjoè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: </w:t>
            </w:r>
          </w:p>
          <w:p w14:paraId="73CDDAEF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3B55068C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i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‘</w:t>
            </w:r>
            <w:proofErr w:type="gramStart"/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>an</w:t>
            </w:r>
            <w:proofErr w:type="gramEnd"/>
            <w:r w:rsidRPr="00E37424">
              <w:rPr>
                <w:rFonts w:ascii="Garamond" w:eastAsia="Times New Roman" w:hAnsi="Garamond" w:cs="Times New Roman"/>
                <w:i/>
                <w:lang w:eastAsia="en-GB"/>
              </w:rPr>
              <w:t xml:space="preserve"> answer should be confined to the points contained in the question, with such explanation only as renders the answer intelligible.’</w:t>
            </w:r>
          </w:p>
          <w:p w14:paraId="47E90F49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i/>
                <w:lang w:eastAsia="en-GB"/>
              </w:rPr>
            </w:pPr>
          </w:p>
          <w:p w14:paraId="52FC48F9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r w:rsidRPr="00E37424">
              <w:rPr>
                <w:rFonts w:ascii="Garamond" w:eastAsia="Times New Roman" w:hAnsi="Garamond" w:cs="Times New Roman"/>
                <w:lang w:eastAsia="en-GB"/>
              </w:rPr>
              <w:t>Fl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opinjoni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, it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tweġiba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kif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mogħtija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fiha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premessa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mhijiex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relevanti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mistoqsija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</w:p>
          <w:p w14:paraId="3388500D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</w:p>
          <w:p w14:paraId="0F73C32A" w14:textId="77777777" w:rsidR="00407532" w:rsidRPr="00E37424" w:rsidRDefault="00407532" w:rsidP="003F6A9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Garamond" w:eastAsia="Times New Roman" w:hAnsi="Garamond" w:cs="Times New Roman"/>
                <w:lang w:eastAsia="en-GB"/>
              </w:rPr>
            </w:pP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Apparti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minn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dan, is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tħoss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tfakkar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Membri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din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hija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post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fejn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għandhom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jiġu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trattati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kwestjonijiet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jistgħu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jitqajmu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u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għalhekk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Membri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għandhom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,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kemm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jista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’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jkun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joqogħdu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lura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milli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jwieġbu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lil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xulxin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billi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jagħmlu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stqarrijiet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pubbliċi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mhumiex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u ma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jistgħux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ikunu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parti mill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proċeduri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parlamentari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Anke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jekk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dan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isir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, dawn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istqarrijiet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pubbliċi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m’għandhom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qatt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jittieħdu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bħala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metodu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kif dan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Parlament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jingħata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sodisfazzjon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kwestjonijiet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jkunu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ġew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imressqa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quddiemu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>. Din id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drawwa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hemm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bżonn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tispiċċa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għaliex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tnawwar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mid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dinjità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istituzzjoni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Biex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dan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isir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irid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ikun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hemm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kooperazzjoni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tal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Membri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kollha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ta’ din 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Kamra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 xml:space="preserve"> xi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ħaġa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li s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Sedja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tirrakkomanda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bil</w:t>
            </w:r>
            <w:r w:rsidRPr="00E37424">
              <w:rPr>
                <w:rFonts w:ascii="Garamond" w:eastAsia="Times New Roman" w:hAnsi="Garamond" w:cs="Times New Roman"/>
                <w:lang w:eastAsia="en-GB"/>
              </w:rPr>
              <w:noBreakHyphen/>
              <w:t>qawwa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 </w:t>
            </w:r>
            <w:proofErr w:type="spellStart"/>
            <w:r w:rsidRPr="00E37424">
              <w:rPr>
                <w:rFonts w:ascii="Garamond" w:eastAsia="Times New Roman" w:hAnsi="Garamond" w:cs="Times New Roman"/>
                <w:lang w:eastAsia="en-GB"/>
              </w:rPr>
              <w:t>kollha</w:t>
            </w:r>
            <w:proofErr w:type="spellEnd"/>
            <w:r w:rsidRPr="00E37424">
              <w:rPr>
                <w:rFonts w:ascii="Garamond" w:eastAsia="Times New Roman" w:hAnsi="Garamond" w:cs="Times New Roman"/>
                <w:lang w:eastAsia="en-GB"/>
              </w:rPr>
              <w:t xml:space="preserve">. </w:t>
            </w:r>
          </w:p>
        </w:tc>
      </w:tr>
    </w:tbl>
    <w:p w14:paraId="59D4D100" w14:textId="77777777" w:rsidR="00407532" w:rsidRDefault="00407532" w:rsidP="00407532">
      <w:pPr>
        <w:spacing w:after="0" w:line="240" w:lineRule="auto"/>
        <w:contextualSpacing/>
      </w:pPr>
    </w:p>
    <w:p w14:paraId="0984862B" w14:textId="77777777" w:rsidR="005B26FD" w:rsidRDefault="00EE20B7"/>
    <w:sectPr w:rsidR="005B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32"/>
    <w:rsid w:val="000B6E47"/>
    <w:rsid w:val="00407532"/>
    <w:rsid w:val="004A4D94"/>
    <w:rsid w:val="008E6A59"/>
    <w:rsid w:val="00A93F5D"/>
    <w:rsid w:val="00EE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28E1D"/>
  <w15:chartTrackingRefBased/>
  <w15:docId w15:val="{F6C8F722-0B47-4807-8004-A62E76E0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53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4</cp:revision>
  <dcterms:created xsi:type="dcterms:W3CDTF">2023-08-25T10:39:00Z</dcterms:created>
  <dcterms:modified xsi:type="dcterms:W3CDTF">2023-08-25T10:54:00Z</dcterms:modified>
</cp:coreProperties>
</file>