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1AEAB" w14:textId="47786757" w:rsidR="1AE464D7" w:rsidRDefault="1AE464D7" w:rsidP="1AE464D7">
      <w:pPr>
        <w:jc w:val="center"/>
        <w:rPr>
          <w:rFonts w:ascii="Calibri" w:eastAsia="Calibri" w:hAnsi="Calibri" w:cs="Calibri"/>
          <w:b/>
          <w:bCs/>
          <w:color w:val="000000" w:themeColor="text1"/>
          <w:sz w:val="28"/>
          <w:szCs w:val="28"/>
        </w:rPr>
      </w:pPr>
      <w:r w:rsidRPr="1AE464D7">
        <w:rPr>
          <w:rFonts w:ascii="Calibri" w:eastAsia="Calibri" w:hAnsi="Calibri" w:cs="Calibri"/>
          <w:b/>
          <w:bCs/>
          <w:color w:val="000000" w:themeColor="text1"/>
          <w:sz w:val="28"/>
          <w:szCs w:val="28"/>
        </w:rPr>
        <w:t xml:space="preserve">   </w:t>
      </w:r>
      <w:r>
        <w:rPr>
          <w:noProof/>
        </w:rPr>
        <w:drawing>
          <wp:inline distT="0" distB="0" distL="0" distR="0" wp14:anchorId="54EDD7EB" wp14:editId="585BAB01">
            <wp:extent cx="4431176" cy="2461765"/>
            <wp:effectExtent l="0" t="0" r="0" b="0"/>
            <wp:docPr id="1160542369" name="Picture 116054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31176" cy="2461765"/>
                    </a:xfrm>
                    <a:prstGeom prst="rect">
                      <a:avLst/>
                    </a:prstGeom>
                  </pic:spPr>
                </pic:pic>
              </a:graphicData>
            </a:graphic>
          </wp:inline>
        </w:drawing>
      </w:r>
    </w:p>
    <w:p w14:paraId="2FC6DA39" w14:textId="1576576D" w:rsidR="1AE464D7" w:rsidRDefault="1AE464D7" w:rsidP="1AE464D7">
      <w:pPr>
        <w:jc w:val="both"/>
        <w:rPr>
          <w:rFonts w:ascii="Calibri" w:eastAsia="Calibri" w:hAnsi="Calibri" w:cs="Calibri"/>
          <w:b/>
          <w:bCs/>
          <w:color w:val="000000" w:themeColor="text1"/>
          <w:sz w:val="28"/>
          <w:szCs w:val="28"/>
        </w:rPr>
      </w:pPr>
    </w:p>
    <w:p w14:paraId="522AEDE5" w14:textId="4D295D12" w:rsidR="1AE464D7" w:rsidRDefault="1AE464D7" w:rsidP="1AE464D7">
      <w:pPr>
        <w:jc w:val="center"/>
        <w:rPr>
          <w:rFonts w:ascii="Calibri" w:eastAsia="Calibri" w:hAnsi="Calibri" w:cs="Calibri"/>
          <w:b/>
          <w:bCs/>
          <w:color w:val="000000" w:themeColor="text1"/>
          <w:sz w:val="32"/>
          <w:szCs w:val="32"/>
        </w:rPr>
      </w:pPr>
      <w:r w:rsidRPr="1AE464D7">
        <w:rPr>
          <w:rFonts w:ascii="Calibri" w:eastAsia="Calibri" w:hAnsi="Calibri" w:cs="Calibri"/>
          <w:b/>
          <w:bCs/>
          <w:color w:val="000000" w:themeColor="text1"/>
          <w:sz w:val="32"/>
          <w:szCs w:val="32"/>
        </w:rPr>
        <w:t xml:space="preserve">Joint Social and Family Affairs Committee meeting, </w:t>
      </w:r>
    </w:p>
    <w:p w14:paraId="7F18103E" w14:textId="35641390" w:rsidR="1AE464D7" w:rsidRDefault="1AE464D7" w:rsidP="1AE464D7">
      <w:pPr>
        <w:jc w:val="center"/>
        <w:rPr>
          <w:rFonts w:ascii="Calibri" w:eastAsia="Calibri" w:hAnsi="Calibri" w:cs="Calibri"/>
          <w:b/>
          <w:bCs/>
          <w:color w:val="000000" w:themeColor="text1"/>
          <w:sz w:val="32"/>
          <w:szCs w:val="32"/>
        </w:rPr>
      </w:pPr>
      <w:r w:rsidRPr="1AE464D7">
        <w:rPr>
          <w:rFonts w:ascii="Calibri" w:eastAsia="Calibri" w:hAnsi="Calibri" w:cs="Calibri"/>
          <w:b/>
          <w:bCs/>
          <w:color w:val="000000" w:themeColor="text1"/>
          <w:sz w:val="32"/>
          <w:szCs w:val="32"/>
        </w:rPr>
        <w:t>Wednesday 26 May 2021,</w:t>
      </w:r>
    </w:p>
    <w:p w14:paraId="70F05DAF" w14:textId="714A48D7" w:rsidR="1AE464D7" w:rsidRDefault="1AE464D7" w:rsidP="1AE464D7">
      <w:pPr>
        <w:jc w:val="center"/>
        <w:rPr>
          <w:rFonts w:ascii="Calibri" w:eastAsia="Calibri" w:hAnsi="Calibri" w:cs="Calibri"/>
          <w:b/>
          <w:bCs/>
          <w:color w:val="000000" w:themeColor="text1"/>
          <w:sz w:val="32"/>
          <w:szCs w:val="32"/>
        </w:rPr>
      </w:pPr>
      <w:r w:rsidRPr="1AE464D7">
        <w:rPr>
          <w:rFonts w:ascii="Calibri" w:eastAsia="Calibri" w:hAnsi="Calibri" w:cs="Calibri"/>
          <w:b/>
          <w:bCs/>
          <w:color w:val="000000" w:themeColor="text1"/>
          <w:sz w:val="32"/>
          <w:szCs w:val="32"/>
        </w:rPr>
        <w:t>House of Representatives</w:t>
      </w:r>
    </w:p>
    <w:p w14:paraId="1AB27263" w14:textId="5DAFDCC6" w:rsidR="1AE464D7" w:rsidRDefault="1AE464D7" w:rsidP="1AE464D7">
      <w:pPr>
        <w:jc w:val="both"/>
        <w:rPr>
          <w:rFonts w:ascii="Calibri" w:eastAsia="Calibri" w:hAnsi="Calibri" w:cs="Calibri"/>
          <w:color w:val="202124"/>
          <w:sz w:val="33"/>
          <w:szCs w:val="33"/>
        </w:rPr>
      </w:pPr>
    </w:p>
    <w:p w14:paraId="3FA5EF23" w14:textId="319C945D" w:rsidR="1AE464D7" w:rsidRDefault="1AE464D7" w:rsidP="1AE464D7">
      <w:pPr>
        <w:jc w:val="both"/>
      </w:pPr>
    </w:p>
    <w:p w14:paraId="30BA3375" w14:textId="678A9336" w:rsidR="1AE464D7" w:rsidRDefault="1AE464D7" w:rsidP="1AE464D7">
      <w:pPr>
        <w:jc w:val="both"/>
      </w:pPr>
    </w:p>
    <w:p w14:paraId="3E789E9D" w14:textId="47E39531" w:rsidR="1AE464D7" w:rsidRDefault="1AE464D7" w:rsidP="1AE464D7">
      <w:pPr>
        <w:jc w:val="both"/>
        <w:rPr>
          <w:b/>
          <w:bCs/>
          <w:sz w:val="28"/>
          <w:szCs w:val="28"/>
        </w:rPr>
      </w:pPr>
    </w:p>
    <w:p w14:paraId="08A5E3AE" w14:textId="16DD2CF5" w:rsidR="1AE464D7" w:rsidRDefault="1AE464D7" w:rsidP="1AE464D7">
      <w:pPr>
        <w:jc w:val="both"/>
        <w:rPr>
          <w:b/>
          <w:bCs/>
          <w:sz w:val="28"/>
          <w:szCs w:val="28"/>
        </w:rPr>
      </w:pPr>
    </w:p>
    <w:p w14:paraId="46FB9F8D" w14:textId="27FBA368" w:rsidR="1AE464D7" w:rsidRDefault="1AE464D7" w:rsidP="1AE464D7">
      <w:pPr>
        <w:jc w:val="both"/>
        <w:rPr>
          <w:b/>
          <w:bCs/>
          <w:sz w:val="28"/>
          <w:szCs w:val="28"/>
        </w:rPr>
      </w:pPr>
    </w:p>
    <w:p w14:paraId="5B858B71" w14:textId="7DBAE25F" w:rsidR="1AE464D7" w:rsidRDefault="1AE464D7" w:rsidP="1AE464D7">
      <w:pPr>
        <w:jc w:val="both"/>
        <w:rPr>
          <w:b/>
          <w:bCs/>
          <w:sz w:val="28"/>
          <w:szCs w:val="28"/>
        </w:rPr>
      </w:pPr>
    </w:p>
    <w:p w14:paraId="0A4F834D" w14:textId="35B8BB8D" w:rsidR="1AE464D7" w:rsidRDefault="1AE464D7" w:rsidP="1AE464D7">
      <w:pPr>
        <w:jc w:val="both"/>
        <w:rPr>
          <w:b/>
          <w:bCs/>
          <w:sz w:val="28"/>
          <w:szCs w:val="28"/>
        </w:rPr>
      </w:pPr>
    </w:p>
    <w:p w14:paraId="7F665B50" w14:textId="4E5BFBF9" w:rsidR="1AE464D7" w:rsidRDefault="1AE464D7" w:rsidP="1AE464D7">
      <w:pPr>
        <w:jc w:val="both"/>
        <w:rPr>
          <w:b/>
          <w:bCs/>
          <w:sz w:val="28"/>
          <w:szCs w:val="28"/>
        </w:rPr>
      </w:pPr>
    </w:p>
    <w:p w14:paraId="2B346EAF" w14:textId="1E009E56" w:rsidR="1AE464D7" w:rsidRDefault="1AE464D7" w:rsidP="1AE464D7">
      <w:pPr>
        <w:jc w:val="both"/>
        <w:rPr>
          <w:b/>
          <w:bCs/>
          <w:sz w:val="28"/>
          <w:szCs w:val="28"/>
        </w:rPr>
      </w:pPr>
    </w:p>
    <w:p w14:paraId="13A5A784" w14:textId="7F00DC37" w:rsidR="1AE464D7" w:rsidRDefault="1AE464D7" w:rsidP="1AE464D7">
      <w:pPr>
        <w:jc w:val="both"/>
        <w:rPr>
          <w:b/>
          <w:bCs/>
          <w:sz w:val="28"/>
          <w:szCs w:val="28"/>
        </w:rPr>
      </w:pPr>
    </w:p>
    <w:p w14:paraId="17F5650E" w14:textId="1F997BD3" w:rsidR="1AE464D7" w:rsidRDefault="1AE464D7" w:rsidP="1AE464D7">
      <w:pPr>
        <w:jc w:val="both"/>
        <w:rPr>
          <w:b/>
          <w:bCs/>
          <w:sz w:val="28"/>
          <w:szCs w:val="28"/>
        </w:rPr>
      </w:pPr>
    </w:p>
    <w:p w14:paraId="06E833CC" w14:textId="65A91E34" w:rsidR="1AE464D7" w:rsidRDefault="1AE464D7" w:rsidP="1AE464D7">
      <w:pPr>
        <w:jc w:val="both"/>
        <w:rPr>
          <w:b/>
          <w:bCs/>
          <w:sz w:val="28"/>
          <w:szCs w:val="28"/>
        </w:rPr>
      </w:pPr>
    </w:p>
    <w:p w14:paraId="4BE1DF34" w14:textId="1C8600F2" w:rsidR="1AE464D7" w:rsidRDefault="1AE464D7" w:rsidP="1AE464D7">
      <w:pPr>
        <w:jc w:val="both"/>
        <w:rPr>
          <w:b/>
          <w:bCs/>
          <w:sz w:val="28"/>
          <w:szCs w:val="28"/>
        </w:rPr>
      </w:pPr>
    </w:p>
    <w:p w14:paraId="70AA9454" w14:textId="2270AD22" w:rsidR="1AE464D7" w:rsidRDefault="1AE464D7" w:rsidP="1AE464D7">
      <w:pPr>
        <w:jc w:val="both"/>
        <w:rPr>
          <w:b/>
          <w:bCs/>
          <w:sz w:val="28"/>
          <w:szCs w:val="28"/>
        </w:rPr>
      </w:pPr>
    </w:p>
    <w:p w14:paraId="47CBA730" w14:textId="00D94D83" w:rsidR="1AE464D7" w:rsidRDefault="1AE464D7" w:rsidP="1AE464D7">
      <w:pPr>
        <w:jc w:val="both"/>
        <w:rPr>
          <w:b/>
          <w:bCs/>
          <w:sz w:val="28"/>
          <w:szCs w:val="28"/>
        </w:rPr>
      </w:pPr>
    </w:p>
    <w:p w14:paraId="75B3A776" w14:textId="4E9375DF" w:rsidR="1AE464D7" w:rsidRDefault="1AE464D7" w:rsidP="1AE464D7">
      <w:pPr>
        <w:jc w:val="both"/>
        <w:rPr>
          <w:b/>
          <w:bCs/>
          <w:sz w:val="28"/>
          <w:szCs w:val="28"/>
        </w:rPr>
      </w:pPr>
      <w:r>
        <w:rPr>
          <w:noProof/>
        </w:rPr>
        <w:drawing>
          <wp:inline distT="0" distB="0" distL="0" distR="0" wp14:anchorId="4DEE988C" wp14:editId="53BEE4C4">
            <wp:extent cx="1666875" cy="1666875"/>
            <wp:effectExtent l="0" t="0" r="0" b="0"/>
            <wp:docPr id="736957230" name="Picture 73695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p>
    <w:p w14:paraId="42A46559" w14:textId="6125CB1E" w:rsidR="1AE464D7" w:rsidRDefault="1AE464D7" w:rsidP="1AE464D7">
      <w:pPr>
        <w:jc w:val="both"/>
        <w:rPr>
          <w:rFonts w:ascii="Calibri" w:eastAsia="Calibri" w:hAnsi="Calibri" w:cs="Calibri"/>
          <w:b/>
          <w:bCs/>
          <w:sz w:val="28"/>
          <w:szCs w:val="28"/>
        </w:rPr>
      </w:pPr>
      <w:r w:rsidRPr="1AE464D7">
        <w:rPr>
          <w:b/>
          <w:bCs/>
          <w:sz w:val="28"/>
          <w:szCs w:val="28"/>
        </w:rPr>
        <w:t xml:space="preserve">Costanza </w:t>
      </w:r>
      <w:proofErr w:type="spellStart"/>
      <w:r w:rsidRPr="1AE464D7">
        <w:rPr>
          <w:b/>
          <w:bCs/>
          <w:sz w:val="28"/>
          <w:szCs w:val="28"/>
        </w:rPr>
        <w:t>S</w:t>
      </w:r>
      <w:r w:rsidRPr="1AE464D7">
        <w:rPr>
          <w:rFonts w:ascii="Calibri" w:eastAsia="Calibri" w:hAnsi="Calibri" w:cs="Calibri"/>
          <w:b/>
          <w:bCs/>
          <w:color w:val="000000" w:themeColor="text1"/>
          <w:sz w:val="28"/>
          <w:szCs w:val="28"/>
        </w:rPr>
        <w:t>ánches</w:t>
      </w:r>
      <w:proofErr w:type="spellEnd"/>
      <w:r w:rsidRPr="1AE464D7">
        <w:rPr>
          <w:rFonts w:ascii="Calibri" w:eastAsia="Calibri" w:hAnsi="Calibri" w:cs="Calibri"/>
          <w:b/>
          <w:bCs/>
          <w:color w:val="000000" w:themeColor="text1"/>
          <w:sz w:val="28"/>
          <w:szCs w:val="28"/>
        </w:rPr>
        <w:t xml:space="preserve"> </w:t>
      </w:r>
      <w:proofErr w:type="spellStart"/>
      <w:r w:rsidRPr="1AE464D7">
        <w:rPr>
          <w:rFonts w:ascii="Calibri" w:eastAsia="Calibri" w:hAnsi="Calibri" w:cs="Calibri"/>
          <w:b/>
          <w:bCs/>
          <w:color w:val="000000" w:themeColor="text1"/>
          <w:sz w:val="28"/>
          <w:szCs w:val="28"/>
        </w:rPr>
        <w:t>Avilés</w:t>
      </w:r>
      <w:proofErr w:type="spellEnd"/>
      <w:r w:rsidRPr="1AE464D7">
        <w:rPr>
          <w:rFonts w:ascii="Calibri" w:eastAsia="Calibri" w:hAnsi="Calibri" w:cs="Calibri"/>
          <w:b/>
          <w:bCs/>
          <w:color w:val="000000" w:themeColor="text1"/>
          <w:sz w:val="28"/>
          <w:szCs w:val="28"/>
        </w:rPr>
        <w:t xml:space="preserve">  </w:t>
      </w:r>
    </w:p>
    <w:p w14:paraId="0042F7F3" w14:textId="7E2A57D9" w:rsidR="1AE464D7" w:rsidRDefault="1AE464D7" w:rsidP="1AE464D7">
      <w:pPr>
        <w:jc w:val="both"/>
      </w:pPr>
    </w:p>
    <w:p w14:paraId="78F16DE0" w14:textId="793DD9FE" w:rsidR="1AE464D7" w:rsidRDefault="1AE464D7" w:rsidP="1AE464D7">
      <w:pPr>
        <w:jc w:val="both"/>
        <w:rPr>
          <w:rFonts w:ascii="Calibri" w:eastAsia="Calibri" w:hAnsi="Calibri" w:cs="Calibri"/>
          <w:sz w:val="24"/>
          <w:szCs w:val="24"/>
        </w:rPr>
      </w:pPr>
      <w:r w:rsidRPr="1AE464D7">
        <w:rPr>
          <w:rFonts w:ascii="Calibri" w:eastAsia="Calibri" w:hAnsi="Calibri" w:cs="Calibri"/>
          <w:color w:val="000000" w:themeColor="text1"/>
          <w:sz w:val="24"/>
          <w:szCs w:val="24"/>
        </w:rPr>
        <w:t xml:space="preserve">Constanza Sánchez </w:t>
      </w:r>
      <w:proofErr w:type="spellStart"/>
      <w:r w:rsidRPr="1AE464D7">
        <w:rPr>
          <w:rFonts w:ascii="Calibri" w:eastAsia="Calibri" w:hAnsi="Calibri" w:cs="Calibri"/>
          <w:color w:val="000000" w:themeColor="text1"/>
          <w:sz w:val="24"/>
          <w:szCs w:val="24"/>
        </w:rPr>
        <w:t>Avilés</w:t>
      </w:r>
      <w:proofErr w:type="spellEnd"/>
      <w:r w:rsidRPr="1AE464D7">
        <w:rPr>
          <w:rFonts w:ascii="Calibri" w:eastAsia="Calibri" w:hAnsi="Calibri" w:cs="Calibri"/>
          <w:color w:val="000000" w:themeColor="text1"/>
          <w:sz w:val="24"/>
          <w:szCs w:val="24"/>
        </w:rPr>
        <w:t xml:space="preserve"> is the Law, Policy &amp; Human Rights Director at the International Center for Ethnobotanical Education, Research &amp; Service (ICEERS). She is a political scientist and holds a PhD in International Law and International Relations. Her main areas of work are national and international drug control policies and the intersection between drug control, human </w:t>
      </w:r>
      <w:proofErr w:type="gramStart"/>
      <w:r w:rsidRPr="1AE464D7">
        <w:rPr>
          <w:rFonts w:ascii="Calibri" w:eastAsia="Calibri" w:hAnsi="Calibri" w:cs="Calibri"/>
          <w:color w:val="000000" w:themeColor="text1"/>
          <w:sz w:val="24"/>
          <w:szCs w:val="24"/>
        </w:rPr>
        <w:t>rights</w:t>
      </w:r>
      <w:proofErr w:type="gramEnd"/>
      <w:r w:rsidRPr="1AE464D7">
        <w:rPr>
          <w:rFonts w:ascii="Calibri" w:eastAsia="Calibri" w:hAnsi="Calibri" w:cs="Calibri"/>
          <w:color w:val="000000" w:themeColor="text1"/>
          <w:sz w:val="24"/>
          <w:szCs w:val="24"/>
        </w:rPr>
        <w:t xml:space="preserve"> and social justice. From 2007 to 2013 she was lecturer and researcher at the </w:t>
      </w:r>
      <w:proofErr w:type="spellStart"/>
      <w:r w:rsidRPr="1AE464D7">
        <w:rPr>
          <w:rFonts w:ascii="Calibri" w:eastAsia="Calibri" w:hAnsi="Calibri" w:cs="Calibri"/>
          <w:color w:val="000000" w:themeColor="text1"/>
          <w:sz w:val="24"/>
          <w:szCs w:val="24"/>
        </w:rPr>
        <w:t>Universitat</w:t>
      </w:r>
      <w:proofErr w:type="spellEnd"/>
      <w:r w:rsidRPr="1AE464D7">
        <w:rPr>
          <w:rFonts w:ascii="Calibri" w:eastAsia="Calibri" w:hAnsi="Calibri" w:cs="Calibri"/>
          <w:color w:val="000000" w:themeColor="text1"/>
          <w:sz w:val="24"/>
          <w:szCs w:val="24"/>
        </w:rPr>
        <w:t xml:space="preserve"> </w:t>
      </w:r>
      <w:proofErr w:type="spellStart"/>
      <w:r w:rsidRPr="1AE464D7">
        <w:rPr>
          <w:rFonts w:ascii="Calibri" w:eastAsia="Calibri" w:hAnsi="Calibri" w:cs="Calibri"/>
          <w:color w:val="000000" w:themeColor="text1"/>
          <w:sz w:val="24"/>
          <w:szCs w:val="24"/>
        </w:rPr>
        <w:t>Pompeu</w:t>
      </w:r>
      <w:proofErr w:type="spellEnd"/>
      <w:r w:rsidRPr="1AE464D7">
        <w:rPr>
          <w:rFonts w:ascii="Calibri" w:eastAsia="Calibri" w:hAnsi="Calibri" w:cs="Calibri"/>
          <w:color w:val="000000" w:themeColor="text1"/>
          <w:sz w:val="24"/>
          <w:szCs w:val="24"/>
        </w:rPr>
        <w:t xml:space="preserve"> </w:t>
      </w:r>
      <w:proofErr w:type="spellStart"/>
      <w:r w:rsidRPr="1AE464D7">
        <w:rPr>
          <w:rFonts w:ascii="Calibri" w:eastAsia="Calibri" w:hAnsi="Calibri" w:cs="Calibri"/>
          <w:color w:val="000000" w:themeColor="text1"/>
          <w:sz w:val="24"/>
          <w:szCs w:val="24"/>
        </w:rPr>
        <w:t>Fabra</w:t>
      </w:r>
      <w:proofErr w:type="spellEnd"/>
      <w:r w:rsidRPr="1AE464D7">
        <w:rPr>
          <w:rFonts w:ascii="Calibri" w:eastAsia="Calibri" w:hAnsi="Calibri" w:cs="Calibri"/>
          <w:color w:val="000000" w:themeColor="text1"/>
          <w:sz w:val="24"/>
          <w:szCs w:val="24"/>
        </w:rPr>
        <w:t xml:space="preserve"> (Barcelona). She has been visiting scholar at the University of Miami (2010), the University of San Diego (2012) and research assistant at the Global Drug Policy Observatory, UK (2013). She has also conducted fieldwork in Europe, Peru, the United States, Colombia, </w:t>
      </w:r>
      <w:proofErr w:type="gramStart"/>
      <w:r w:rsidRPr="1AE464D7">
        <w:rPr>
          <w:rFonts w:ascii="Calibri" w:eastAsia="Calibri" w:hAnsi="Calibri" w:cs="Calibri"/>
          <w:color w:val="000000" w:themeColor="text1"/>
          <w:sz w:val="24"/>
          <w:szCs w:val="24"/>
        </w:rPr>
        <w:t>Mexico</w:t>
      </w:r>
      <w:proofErr w:type="gramEnd"/>
      <w:r w:rsidRPr="1AE464D7">
        <w:rPr>
          <w:rFonts w:ascii="Calibri" w:eastAsia="Calibri" w:hAnsi="Calibri" w:cs="Calibri"/>
          <w:color w:val="000000" w:themeColor="text1"/>
          <w:sz w:val="24"/>
          <w:szCs w:val="24"/>
        </w:rPr>
        <w:t xml:space="preserve"> and the US-Mexican border. Constanza regularly participates at the sessions of the UN Commission on Narcotic Drugs and the Human Rights bodies in Geneva, as well as other international meetings as CSO representative. She collaborates with several drug policy institutions and assiduously publishes and lectures on her areas of research.</w:t>
      </w:r>
    </w:p>
    <w:p w14:paraId="0BAC2B43" w14:textId="4191D44C" w:rsidR="1AE464D7" w:rsidRDefault="1AE464D7" w:rsidP="1AE464D7">
      <w:pPr>
        <w:jc w:val="both"/>
        <w:rPr>
          <w:rFonts w:ascii="Calibri" w:eastAsia="Calibri" w:hAnsi="Calibri" w:cs="Calibri"/>
          <w:color w:val="000000" w:themeColor="text1"/>
          <w:sz w:val="24"/>
          <w:szCs w:val="24"/>
        </w:rPr>
      </w:pPr>
    </w:p>
    <w:p w14:paraId="2685627A" w14:textId="1C01002D" w:rsidR="1AE464D7" w:rsidRDefault="1AE464D7" w:rsidP="1AE464D7">
      <w:pPr>
        <w:jc w:val="both"/>
        <w:rPr>
          <w:rFonts w:eastAsiaTheme="minorEastAsia"/>
          <w:b/>
          <w:bCs/>
          <w:i/>
          <w:iCs/>
          <w:color w:val="222222"/>
          <w:sz w:val="28"/>
          <w:szCs w:val="28"/>
        </w:rPr>
      </w:pPr>
    </w:p>
    <w:p w14:paraId="413ECB15" w14:textId="454CF397" w:rsidR="1AE464D7" w:rsidRDefault="1AE464D7" w:rsidP="1AE464D7">
      <w:pPr>
        <w:jc w:val="both"/>
        <w:rPr>
          <w:rFonts w:eastAsiaTheme="minorEastAsia"/>
          <w:b/>
          <w:bCs/>
          <w:i/>
          <w:iCs/>
          <w:color w:val="222222"/>
          <w:sz w:val="28"/>
          <w:szCs w:val="28"/>
        </w:rPr>
      </w:pPr>
    </w:p>
    <w:p w14:paraId="6F159902" w14:textId="332FFA95" w:rsidR="1AE464D7" w:rsidRDefault="1AE464D7" w:rsidP="1AE464D7">
      <w:pPr>
        <w:jc w:val="both"/>
        <w:rPr>
          <w:rFonts w:eastAsiaTheme="minorEastAsia"/>
          <w:b/>
          <w:bCs/>
          <w:i/>
          <w:iCs/>
          <w:color w:val="222222"/>
          <w:sz w:val="28"/>
          <w:szCs w:val="28"/>
        </w:rPr>
      </w:pPr>
    </w:p>
    <w:p w14:paraId="63E9CC28" w14:textId="512562DA" w:rsidR="1AE464D7" w:rsidRDefault="1AE464D7" w:rsidP="1AE464D7">
      <w:pPr>
        <w:jc w:val="both"/>
        <w:rPr>
          <w:rFonts w:eastAsiaTheme="minorEastAsia"/>
          <w:b/>
          <w:bCs/>
          <w:i/>
          <w:iCs/>
          <w:color w:val="222222"/>
          <w:sz w:val="28"/>
          <w:szCs w:val="28"/>
        </w:rPr>
      </w:pPr>
    </w:p>
    <w:p w14:paraId="77F20409" w14:textId="3F390E84" w:rsidR="1AE464D7" w:rsidRDefault="1AE464D7" w:rsidP="1AE464D7">
      <w:pPr>
        <w:jc w:val="both"/>
        <w:rPr>
          <w:rFonts w:eastAsiaTheme="minorEastAsia"/>
          <w:b/>
          <w:bCs/>
          <w:i/>
          <w:iCs/>
          <w:color w:val="222222"/>
          <w:sz w:val="28"/>
          <w:szCs w:val="28"/>
        </w:rPr>
      </w:pPr>
    </w:p>
    <w:p w14:paraId="32D523BE" w14:textId="09929ABB" w:rsidR="1AE464D7" w:rsidRDefault="1AE464D7" w:rsidP="1AE464D7">
      <w:pPr>
        <w:jc w:val="both"/>
        <w:rPr>
          <w:rFonts w:eastAsiaTheme="minorEastAsia"/>
          <w:b/>
          <w:bCs/>
          <w:i/>
          <w:iCs/>
          <w:color w:val="222222"/>
          <w:sz w:val="28"/>
          <w:szCs w:val="28"/>
        </w:rPr>
      </w:pPr>
    </w:p>
    <w:p w14:paraId="741AD3E2" w14:textId="3C874DC8" w:rsidR="1AE464D7" w:rsidRDefault="1AE464D7" w:rsidP="1AE464D7">
      <w:pPr>
        <w:jc w:val="both"/>
        <w:rPr>
          <w:rFonts w:eastAsiaTheme="minorEastAsia"/>
          <w:b/>
          <w:bCs/>
          <w:i/>
          <w:iCs/>
          <w:color w:val="222222"/>
          <w:sz w:val="28"/>
          <w:szCs w:val="28"/>
        </w:rPr>
      </w:pPr>
    </w:p>
    <w:p w14:paraId="0E346E5A" w14:textId="3172D8A6" w:rsidR="1AE464D7" w:rsidRDefault="1AE464D7" w:rsidP="1AE464D7">
      <w:pPr>
        <w:jc w:val="both"/>
        <w:rPr>
          <w:rFonts w:eastAsiaTheme="minorEastAsia"/>
          <w:b/>
          <w:bCs/>
          <w:i/>
          <w:iCs/>
          <w:color w:val="222222"/>
          <w:sz w:val="28"/>
          <w:szCs w:val="28"/>
        </w:rPr>
      </w:pPr>
      <w:r>
        <w:rPr>
          <w:noProof/>
        </w:rPr>
        <w:drawing>
          <wp:inline distT="0" distB="0" distL="0" distR="0" wp14:anchorId="45742B48" wp14:editId="25644400">
            <wp:extent cx="1666875" cy="1428750"/>
            <wp:effectExtent l="0" t="0" r="0" b="0"/>
            <wp:docPr id="2081559660" name="Picture 208155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66875" cy="1428750"/>
                    </a:xfrm>
                    <a:prstGeom prst="rect">
                      <a:avLst/>
                    </a:prstGeom>
                  </pic:spPr>
                </pic:pic>
              </a:graphicData>
            </a:graphic>
          </wp:inline>
        </w:drawing>
      </w:r>
    </w:p>
    <w:p w14:paraId="1D77F25D" w14:textId="627794CD" w:rsidR="1AE464D7" w:rsidRDefault="1AE464D7" w:rsidP="1AE464D7">
      <w:pPr>
        <w:jc w:val="both"/>
        <w:rPr>
          <w:rFonts w:eastAsiaTheme="minorEastAsia"/>
          <w:b/>
          <w:bCs/>
          <w:sz w:val="28"/>
          <w:szCs w:val="28"/>
        </w:rPr>
      </w:pPr>
      <w:r w:rsidRPr="1AE464D7">
        <w:rPr>
          <w:rFonts w:eastAsiaTheme="minorEastAsia"/>
          <w:b/>
          <w:bCs/>
          <w:i/>
          <w:iCs/>
          <w:color w:val="222222"/>
          <w:sz w:val="28"/>
          <w:szCs w:val="28"/>
        </w:rPr>
        <w:t>Fabian Pitter Steinmetz</w:t>
      </w:r>
    </w:p>
    <w:p w14:paraId="0D1F56D2" w14:textId="6AC20AA7" w:rsidR="1AE464D7" w:rsidRDefault="1AE464D7" w:rsidP="1AE464D7">
      <w:pPr>
        <w:jc w:val="both"/>
        <w:rPr>
          <w:rFonts w:ascii="Calibri" w:eastAsia="Calibri" w:hAnsi="Calibri" w:cs="Calibri"/>
          <w:color w:val="000000" w:themeColor="text1"/>
          <w:sz w:val="24"/>
          <w:szCs w:val="24"/>
        </w:rPr>
      </w:pPr>
    </w:p>
    <w:p w14:paraId="39179C6C" w14:textId="7A597BEF" w:rsidR="1AE464D7" w:rsidRDefault="1AE464D7" w:rsidP="1AE464D7">
      <w:pPr>
        <w:jc w:val="both"/>
        <w:rPr>
          <w:rFonts w:ascii="Calibri" w:eastAsia="Calibri" w:hAnsi="Calibri" w:cs="Calibri"/>
          <w:color w:val="000000" w:themeColor="text1"/>
          <w:sz w:val="24"/>
          <w:szCs w:val="24"/>
        </w:rPr>
      </w:pPr>
    </w:p>
    <w:p w14:paraId="58CE958F" w14:textId="71AED81A" w:rsidR="1AE464D7" w:rsidRDefault="1AE464D7" w:rsidP="1AE464D7">
      <w:pPr>
        <w:jc w:val="both"/>
        <w:rPr>
          <w:rFonts w:eastAsiaTheme="minorEastAsia"/>
          <w:sz w:val="24"/>
          <w:szCs w:val="24"/>
        </w:rPr>
      </w:pPr>
      <w:r w:rsidRPr="1AE464D7">
        <w:rPr>
          <w:rFonts w:eastAsiaTheme="minorEastAsia"/>
          <w:color w:val="222222"/>
          <w:sz w:val="24"/>
          <w:szCs w:val="24"/>
        </w:rPr>
        <w:t xml:space="preserve">Dr. Fabian Pitter Steinmetz studied process engineering at the Umwelt-Campus </w:t>
      </w:r>
      <w:proofErr w:type="spellStart"/>
      <w:r w:rsidRPr="1AE464D7">
        <w:rPr>
          <w:rFonts w:eastAsiaTheme="minorEastAsia"/>
          <w:color w:val="222222"/>
          <w:sz w:val="24"/>
          <w:szCs w:val="24"/>
        </w:rPr>
        <w:t>Birkenfeld</w:t>
      </w:r>
      <w:proofErr w:type="spellEnd"/>
      <w:r w:rsidRPr="1AE464D7">
        <w:rPr>
          <w:rFonts w:eastAsiaTheme="minorEastAsia"/>
          <w:color w:val="222222"/>
          <w:sz w:val="24"/>
          <w:szCs w:val="24"/>
        </w:rPr>
        <w:t xml:space="preserve"> (Germany) and toxicology at the Athlone Institute of Technology (Ireland). After gaining experience in the biopharmaceutical industry, he obtained a PhD in predictive toxicology from Liverpool John </w:t>
      </w:r>
      <w:proofErr w:type="spellStart"/>
      <w:r w:rsidRPr="1AE464D7">
        <w:rPr>
          <w:rFonts w:eastAsiaTheme="minorEastAsia"/>
          <w:color w:val="222222"/>
          <w:sz w:val="24"/>
          <w:szCs w:val="24"/>
        </w:rPr>
        <w:t>Moores</w:t>
      </w:r>
      <w:proofErr w:type="spellEnd"/>
      <w:r w:rsidRPr="1AE464D7">
        <w:rPr>
          <w:rFonts w:eastAsiaTheme="minorEastAsia"/>
          <w:color w:val="222222"/>
          <w:sz w:val="24"/>
          <w:szCs w:val="24"/>
        </w:rPr>
        <w:t xml:space="preserve"> University (UK).</w:t>
      </w:r>
      <w:r>
        <w:br/>
      </w:r>
      <w:r w:rsidRPr="1AE464D7">
        <w:rPr>
          <w:rFonts w:eastAsiaTheme="minorEastAsia"/>
          <w:color w:val="222222"/>
          <w:sz w:val="24"/>
          <w:szCs w:val="24"/>
        </w:rPr>
        <w:t xml:space="preserve">He works at the international consultancy Delphic HSE Ltd since early 2016, interrupted by a post-doc at Merck </w:t>
      </w:r>
      <w:proofErr w:type="spellStart"/>
      <w:r w:rsidRPr="1AE464D7">
        <w:rPr>
          <w:rFonts w:eastAsiaTheme="minorEastAsia"/>
          <w:color w:val="222222"/>
          <w:sz w:val="24"/>
          <w:szCs w:val="24"/>
        </w:rPr>
        <w:t>KGaA</w:t>
      </w:r>
      <w:proofErr w:type="spellEnd"/>
      <w:r w:rsidRPr="1AE464D7">
        <w:rPr>
          <w:rFonts w:eastAsiaTheme="minorEastAsia"/>
          <w:color w:val="222222"/>
          <w:sz w:val="24"/>
          <w:szCs w:val="24"/>
        </w:rPr>
        <w:t xml:space="preserve"> in the area of drug design.</w:t>
      </w:r>
      <w:r>
        <w:br/>
      </w:r>
      <w:r w:rsidRPr="1AE464D7">
        <w:rPr>
          <w:rFonts w:eastAsiaTheme="minorEastAsia"/>
          <w:color w:val="222222"/>
          <w:sz w:val="24"/>
          <w:szCs w:val="24"/>
        </w:rPr>
        <w:t>Until now Steinmetz has authored/co-authored over 200 safety assessments, expert opinions and scientific publications. Also, he is a European Registered Toxicologist (ERT) since early 2020 and he supports an evidence-based drug policy reform as a committee member of the independent German expert panel „</w:t>
      </w:r>
      <w:proofErr w:type="spellStart"/>
      <w:r w:rsidRPr="1AE464D7">
        <w:rPr>
          <w:rFonts w:eastAsiaTheme="minorEastAsia"/>
          <w:color w:val="222222"/>
          <w:sz w:val="24"/>
          <w:szCs w:val="24"/>
        </w:rPr>
        <w:t>Schildower</w:t>
      </w:r>
      <w:proofErr w:type="spellEnd"/>
      <w:r w:rsidRPr="1AE464D7">
        <w:rPr>
          <w:rFonts w:eastAsiaTheme="minorEastAsia"/>
          <w:color w:val="222222"/>
          <w:sz w:val="24"/>
          <w:szCs w:val="24"/>
        </w:rPr>
        <w:t xml:space="preserve"> Kreis</w:t>
      </w:r>
    </w:p>
    <w:sectPr w:rsidR="1AE46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D61732"/>
    <w:multiLevelType w:val="hybridMultilevel"/>
    <w:tmpl w:val="3B3013C8"/>
    <w:lvl w:ilvl="0" w:tplc="2A3A3886">
      <w:start w:val="1"/>
      <w:numFmt w:val="decimal"/>
      <w:lvlText w:val="%1."/>
      <w:lvlJc w:val="left"/>
      <w:pPr>
        <w:ind w:left="720" w:hanging="360"/>
      </w:pPr>
    </w:lvl>
    <w:lvl w:ilvl="1" w:tplc="C23623C6">
      <w:start w:val="1"/>
      <w:numFmt w:val="lowerLetter"/>
      <w:lvlText w:val="%2."/>
      <w:lvlJc w:val="left"/>
      <w:pPr>
        <w:ind w:left="1440" w:hanging="360"/>
      </w:pPr>
    </w:lvl>
    <w:lvl w:ilvl="2" w:tplc="DB3890B4">
      <w:start w:val="1"/>
      <w:numFmt w:val="lowerRoman"/>
      <w:lvlText w:val="%3."/>
      <w:lvlJc w:val="right"/>
      <w:pPr>
        <w:ind w:left="2160" w:hanging="180"/>
      </w:pPr>
    </w:lvl>
    <w:lvl w:ilvl="3" w:tplc="EB7A302A">
      <w:start w:val="1"/>
      <w:numFmt w:val="decimal"/>
      <w:lvlText w:val="%4."/>
      <w:lvlJc w:val="left"/>
      <w:pPr>
        <w:ind w:left="2880" w:hanging="360"/>
      </w:pPr>
    </w:lvl>
    <w:lvl w:ilvl="4" w:tplc="1B1C7354">
      <w:start w:val="1"/>
      <w:numFmt w:val="lowerLetter"/>
      <w:lvlText w:val="%5."/>
      <w:lvlJc w:val="left"/>
      <w:pPr>
        <w:ind w:left="3600" w:hanging="360"/>
      </w:pPr>
    </w:lvl>
    <w:lvl w:ilvl="5" w:tplc="BD423BE8">
      <w:start w:val="1"/>
      <w:numFmt w:val="lowerRoman"/>
      <w:lvlText w:val="%6."/>
      <w:lvlJc w:val="right"/>
      <w:pPr>
        <w:ind w:left="4320" w:hanging="180"/>
      </w:pPr>
    </w:lvl>
    <w:lvl w:ilvl="6" w:tplc="BCFA3B30">
      <w:start w:val="1"/>
      <w:numFmt w:val="decimal"/>
      <w:lvlText w:val="%7."/>
      <w:lvlJc w:val="left"/>
      <w:pPr>
        <w:ind w:left="5040" w:hanging="360"/>
      </w:pPr>
    </w:lvl>
    <w:lvl w:ilvl="7" w:tplc="FAC4B65C">
      <w:start w:val="1"/>
      <w:numFmt w:val="lowerLetter"/>
      <w:lvlText w:val="%8."/>
      <w:lvlJc w:val="left"/>
      <w:pPr>
        <w:ind w:left="5760" w:hanging="360"/>
      </w:pPr>
    </w:lvl>
    <w:lvl w:ilvl="8" w:tplc="9BA6C97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31B04A"/>
    <w:rsid w:val="007F136F"/>
    <w:rsid w:val="0231B04A"/>
    <w:rsid w:val="1AE4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B04A"/>
  <w15:chartTrackingRefBased/>
  <w15:docId w15:val="{19CF0D19-8577-40C9-AA16-F6B892D8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Bonello</dc:creator>
  <cp:keywords/>
  <dc:description/>
  <cp:lastModifiedBy>Grech Stephen at Parlament-MT</cp:lastModifiedBy>
  <cp:revision>2</cp:revision>
  <dcterms:created xsi:type="dcterms:W3CDTF">2021-05-26T06:59:00Z</dcterms:created>
  <dcterms:modified xsi:type="dcterms:W3CDTF">2021-05-26T06:59:00Z</dcterms:modified>
</cp:coreProperties>
</file>